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b/>
          <w:bCs/>
          <w:sz w:val="28"/>
          <w:szCs w:val="24"/>
          <w:lang w:val="pt-BR"/>
        </w:rPr>
      </w:pPr>
      <w:r>
        <w:rPr>
          <w:rFonts w:hint="default" w:cs="Arial" w:asciiTheme="minorAscii" w:hAnsiTheme="minorAscii"/>
          <w:b/>
          <w:bCs/>
          <w:sz w:val="28"/>
          <w:szCs w:val="24"/>
          <w:lang w:val="pt-BR"/>
        </w:rPr>
        <w:t>EDITAL DE CHAMAMENTO PÚBLICO Nº 001/2023</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ind w:left="3300" w:leftChars="1500" w:firstLine="0" w:firstLineChars="0"/>
        <w:jc w:val="both"/>
        <w:textAlignment w:val="auto"/>
        <w:rPr>
          <w:rFonts w:hint="default" w:cs="Arial" w:asciiTheme="minorAscii" w:hAnsiTheme="minorAscii"/>
          <w:color w:val="auto"/>
          <w:sz w:val="22"/>
          <w:szCs w:val="21"/>
          <w:lang w:val="pt-BR"/>
        </w:rPr>
      </w:pPr>
      <w:r>
        <w:rPr>
          <w:rFonts w:hint="default" w:cs="Arial" w:asciiTheme="minorAscii" w:hAnsiTheme="minorAscii"/>
          <w:sz w:val="22"/>
          <w:szCs w:val="21"/>
          <w:lang w:val="pt-BR"/>
        </w:rPr>
        <w:t xml:space="preserve">O MUNICÍPIO DE NÃO-ME-TOQUE (RS), por intermédio da Secretaria Municipal de Administração e Planejamento, </w:t>
      </w:r>
      <w:r>
        <w:rPr>
          <w:rFonts w:hint="default" w:asciiTheme="minorAscii" w:hAnsiTheme="minorAscii"/>
          <w:sz w:val="22"/>
          <w:szCs w:val="21"/>
          <w:lang w:val="pt-BR"/>
        </w:rPr>
        <w:t xml:space="preserve">com esteio na Lei nº 13.019, de 31 de julho de 2014, e no Decreto Municipal nº 35, de 25 de janeiro de 2021, torna público o presente Edital de Chamamento Público visando à seleção de organização da sociedade civil interessada em celebrar termo de fomento que tenha por objeto a execução de projeto(s) </w:t>
      </w:r>
      <w:r>
        <w:rPr>
          <w:rFonts w:hint="default" w:asciiTheme="minorAscii" w:hAnsiTheme="minorAscii"/>
          <w:color w:val="auto"/>
          <w:sz w:val="22"/>
          <w:szCs w:val="21"/>
          <w:lang w:val="pt-BR"/>
        </w:rPr>
        <w:t>na área da cultura, voltada exclusivamente para crianças e adolescentes.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PROPÓSITO DO EDITAL DE CHAMAMENTO PÚBLICO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A finalidade do presente Chamamento Público é a seleção de proposta(s) para a celebração de parceria com a Administração Pública Municipal, por meio da formalização de termo de fomento, para a consecução de finalidades de interesse público e recíproco que envolve a transferência de recursos financeiros à Organização da Sociedade Civil (OSC), conforme condições estabelecidas neste Edital.</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 xml:space="preserve">O procedimento de </w:t>
      </w:r>
      <w:r>
        <w:rPr>
          <w:rFonts w:hint="default" w:asciiTheme="minorAscii" w:hAnsiTheme="minorAscii"/>
          <w:b w:val="0"/>
          <w:bCs w:val="0"/>
          <w:sz w:val="22"/>
          <w:szCs w:val="21"/>
          <w:lang w:val="pt-BR"/>
        </w:rPr>
        <w:t>seleção reger-se-á pela Lei nº 13.019, de 31 de julho de 2014, pelo Decreto Municipal nº 35, de 25 de janeiro de 2021, e pelos demais normativos aplicáveis, além das condições previstas neste Edital.</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Poderão ser selecionadas mais de uma proposta, observada a ordem de classificação e a disponibilidade orçamentária para a celebração dos termos de colaboração.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OBJETO DO TERMO DE FOMENTO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color w:val="auto"/>
          <w:sz w:val="22"/>
          <w:szCs w:val="21"/>
          <w:lang w:val="pt-BR"/>
        </w:rPr>
      </w:pPr>
      <w:r>
        <w:rPr>
          <w:rFonts w:hint="default" w:cs="Arial" w:asciiTheme="minorAscii" w:hAnsiTheme="minorAscii"/>
          <w:b w:val="0"/>
          <w:bCs w:val="0"/>
          <w:sz w:val="22"/>
          <w:szCs w:val="21"/>
          <w:lang w:val="pt-BR"/>
        </w:rPr>
        <w:t xml:space="preserve">O termo de fomento terá por objetivo a concessão de apoio da Administração Pública Municipal, com recursos oriundos do Fundo Municipal da Criança e Adolescente - FMCA, conforme Resolução nº 001/2023 do Conselho Municipal dos Direitos da Criança e Adolescente - Comdica, para a execução de </w:t>
      </w:r>
      <w:r>
        <w:rPr>
          <w:rFonts w:hint="default" w:cs="Arial" w:asciiTheme="minorAscii" w:hAnsiTheme="minorAscii"/>
          <w:b w:val="0"/>
          <w:bCs w:val="0"/>
          <w:color w:val="auto"/>
          <w:sz w:val="22"/>
          <w:szCs w:val="21"/>
          <w:lang w:val="pt-BR"/>
        </w:rPr>
        <w:t xml:space="preserve">projeto(s) </w:t>
      </w:r>
      <w:r>
        <w:rPr>
          <w:rFonts w:hint="default" w:asciiTheme="minorAscii" w:hAnsiTheme="minorAscii"/>
          <w:b w:val="0"/>
          <w:bCs w:val="0"/>
          <w:color w:val="auto"/>
          <w:sz w:val="22"/>
          <w:szCs w:val="21"/>
          <w:lang w:val="pt-BR"/>
        </w:rPr>
        <w:t>na área da cultura, voltada exclusivamente para crianças e adolescentes.</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São objetivos específicos da parceria:</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Propiciar e estimular a diversidade cultural no Município de Não-Me-Toque/RS;</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Propiciar as crianças e adolescentes à arte e à cultura, como forma de preservação da memória e tradição, bem como proteger e promover  o patrimônio histórico e artístico, material e imaterial;</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Garantir e universalizar o acesso das crianças e adolescentes à arte a à cultura, estimulando sua presença no ambiente municipal;</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Propiciar a participação de crianças e adolescentes em vulnerabilidade social;</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Estimular o conhecimento e as expressões tradicionais dos povos colonizadores, preparando crianças e adolescentes para serem cidadãos conscientes de sua origens, e;</w:t>
      </w:r>
    </w:p>
    <w:p>
      <w:pPr>
        <w:keepNext w:val="0"/>
        <w:keepLines w:val="0"/>
        <w:pageBreakBefore w:val="0"/>
        <w:widowControl/>
        <w:numPr>
          <w:ilvl w:val="0"/>
          <w:numId w:val="2"/>
        </w:numPr>
        <w:kinsoku/>
        <w:wordWrap/>
        <w:overflowPunct/>
        <w:topLinePunct w:val="0"/>
        <w:autoSpaceDE/>
        <w:autoSpaceDN/>
        <w:bidi w:val="0"/>
        <w:adjustRightInd/>
        <w:snapToGrid/>
        <w:spacing w:before="181" w:beforeLines="50" w:after="0" w:line="240" w:lineRule="auto"/>
        <w:ind w:left="708"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Descobrir novos talentos nas diversas áreas culturais.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JUSTIFICATIVA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A realização de chamamento público com vistas a selecionar Organização da Sociedade Civil para celebração de parceria, tem como justificativa a</w:t>
      </w:r>
      <w:r>
        <w:rPr>
          <w:rFonts w:hint="default" w:asciiTheme="minorAscii" w:hAnsiTheme="minorAscii"/>
          <w:b w:val="0"/>
          <w:bCs w:val="0"/>
          <w:sz w:val="22"/>
          <w:szCs w:val="21"/>
          <w:lang w:val="pt-BR"/>
        </w:rPr>
        <w:t>mpliar o repertório cultural, fundamental para o desenvolvimento das crianças e adolescentes. Afinal, é por meio dessa base de conhecimento que acontecem intercâmbios culturais e, consequentemente, o enriquecimento do saber. Além disso, prepara os jovens para exercer sua cidadania e respeitar as diferenças. Ampliar o repertório cultural de crianças e adolescentes é uma forma de fazer com que elas se desenvolvam, tanto social como culturalmente.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PARTICIPAÇÃO NO CHAMAMENTO PÚBLICO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Poderão participar deste Edital as Organizações da Sociedade Civil (OSCs), assim consideradas aquelas definidas pelo art. 2º, inciso I, alíneas “a”, “b” ou “c”, da Lei nº 13.019, de 2014 (com redação dada pela Lei nº 13.204, de 14 de dezembro de 2015):</w:t>
      </w:r>
    </w:p>
    <w:p>
      <w:pPr>
        <w:keepNext w:val="0"/>
        <w:keepLines w:val="0"/>
        <w:pageBreakBefore w:val="0"/>
        <w:widowControl/>
        <w:numPr>
          <w:ilvl w:val="0"/>
          <w:numId w:val="3"/>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sz w:val="22"/>
          <w:szCs w:val="21"/>
        </w:rPr>
      </w:pPr>
      <w:r>
        <w:rPr>
          <w:rFonts w:hint="default" w:asciiTheme="minorAscii" w:hAnsiTheme="minorAscii"/>
          <w:sz w:val="22"/>
          <w:szCs w:val="21"/>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sz w:val="22"/>
          <w:szCs w:val="21"/>
        </w:rPr>
      </w:pPr>
      <w:r>
        <w:rPr>
          <w:rFonts w:hint="default" w:asciiTheme="minorAscii" w:hAnsiTheme="minorAscii"/>
          <w:sz w:val="22"/>
          <w:szCs w:val="21"/>
        </w:rPr>
        <w:t>b)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cs="Arial" w:asciiTheme="minorAscii" w:hAnsiTheme="minorAscii"/>
          <w:sz w:val="22"/>
          <w:szCs w:val="21"/>
        </w:rPr>
      </w:pPr>
      <w:r>
        <w:rPr>
          <w:rFonts w:hint="default" w:asciiTheme="minorAscii" w:hAnsiTheme="minorAscii"/>
          <w:sz w:val="22"/>
          <w:szCs w:val="21"/>
        </w:rPr>
        <w:t xml:space="preserve">c) </w:t>
      </w:r>
      <w:r>
        <w:rPr>
          <w:rFonts w:hint="default" w:asciiTheme="minorAscii" w:hAnsiTheme="minorAscii"/>
          <w:sz w:val="22"/>
          <w:szCs w:val="21"/>
          <w:lang w:val="pt-BR"/>
        </w:rPr>
        <w:t>a</w:t>
      </w:r>
      <w:r>
        <w:rPr>
          <w:rFonts w:hint="default" w:asciiTheme="minorAscii" w:hAnsiTheme="minorAscii"/>
          <w:sz w:val="22"/>
          <w:szCs w:val="21"/>
        </w:rPr>
        <w:t>s organizações religiosas que se dediquem a atividades ou a projetos de interesse público e de cunho social distintas das destinadas a fins exclusivamente religiosos.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r>
        <w:rPr>
          <w:rFonts w:hint="default" w:cs="Arial" w:asciiTheme="minorAscii" w:hAnsiTheme="minorAscii"/>
          <w:b/>
          <w:bCs/>
          <w:sz w:val="22"/>
          <w:szCs w:val="21"/>
          <w:lang w:val="pt-BR"/>
        </w:rPr>
        <w:t>4.2.</w:t>
      </w:r>
      <w:r>
        <w:rPr>
          <w:rFonts w:hint="default" w:cs="Arial" w:asciiTheme="minorAscii" w:hAnsiTheme="minorAscii"/>
          <w:b/>
          <w:bCs/>
          <w:sz w:val="22"/>
          <w:szCs w:val="21"/>
          <w:lang w:val="pt-BR"/>
        </w:rPr>
        <w:tab/>
      </w:r>
      <w:r>
        <w:rPr>
          <w:rFonts w:hint="default" w:cs="Arial" w:asciiTheme="minorAscii" w:hAnsiTheme="minorAscii"/>
          <w:b w:val="0"/>
          <w:bCs w:val="0"/>
          <w:sz w:val="22"/>
          <w:szCs w:val="21"/>
          <w:lang w:val="pt-BR"/>
        </w:rPr>
        <w:t>Para participar deste Edital, a Organização da Sociedade Civil (OSC) deverá cumprir as seguintes exigências: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cs="Arial" w:asciiTheme="minorAscii" w:hAnsiTheme="minorAscii"/>
          <w:b w:val="0"/>
          <w:bCs w:val="0"/>
          <w:sz w:val="22"/>
          <w:szCs w:val="21"/>
          <w:lang w:val="pt-BR"/>
        </w:rPr>
        <w:tab/>
      </w:r>
      <w:r>
        <w:rPr>
          <w:rFonts w:hint="default" w:cs="Arial" w:asciiTheme="minorAscii" w:hAnsiTheme="minorAscii"/>
          <w:b w:val="0"/>
          <w:bCs w:val="0"/>
          <w:sz w:val="22"/>
          <w:szCs w:val="21"/>
          <w:lang w:val="pt-BR"/>
        </w:rPr>
        <w:t xml:space="preserve">a) estar regularmente constituída, no mínimo 01 (um) ano, </w:t>
      </w:r>
      <w:r>
        <w:rPr>
          <w:rFonts w:hint="default" w:asciiTheme="minorAscii" w:hAnsiTheme="minorAscii"/>
          <w:b w:val="0"/>
          <w:bCs w:val="0"/>
          <w:sz w:val="22"/>
          <w:szCs w:val="21"/>
          <w:lang w:val="pt-BR"/>
        </w:rPr>
        <w:t>com cadastro ativo, comprovados por meio de documentação emitida pela Secretaria da Receita Federal do Brasil, com base no Cadastro Nacional da Pessoa Jurídica - CNPJ, 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 xml:space="preserve">b) declarar, conforme modelo constante no </w:t>
      </w:r>
      <w:r>
        <w:rPr>
          <w:rFonts w:hint="default" w:asciiTheme="minorAscii" w:hAnsiTheme="minorAscii"/>
          <w:b w:val="0"/>
          <w:bCs w:val="0"/>
          <w:i/>
          <w:iCs/>
          <w:sz w:val="22"/>
          <w:szCs w:val="21"/>
          <w:lang w:val="pt-BR"/>
        </w:rPr>
        <w:t>Anexo I – Declaração de Ciência e Concordância</w:t>
      </w:r>
      <w:r>
        <w:rPr>
          <w:rFonts w:hint="default" w:asciiTheme="minorAscii" w:hAnsiTheme="minorAscii"/>
          <w:b w:val="0"/>
          <w:bCs w:val="0"/>
          <w:sz w:val="22"/>
          <w:szCs w:val="21"/>
          <w:lang w:val="pt-BR"/>
        </w:rPr>
        <w:t>, que está ciente e concorda com as disposições previstas no Edital e seus anexos, bem como que se responsabilizam pela veracidade e legitimidade das informações e documentos apresentados durante o processo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w:t>
      </w:r>
      <w:r>
        <w:rPr>
          <w:rFonts w:hint="default" w:asciiTheme="minorAscii" w:hAnsiTheme="minorAscii"/>
          <w:b/>
          <w:bCs/>
          <w:sz w:val="22"/>
          <w:szCs w:val="21"/>
          <w:lang w:val="pt-BR"/>
        </w:rPr>
        <w:tab/>
      </w:r>
      <w:r>
        <w:rPr>
          <w:rFonts w:hint="default" w:asciiTheme="minorAscii" w:hAnsiTheme="minorAscii"/>
          <w:b w:val="0"/>
          <w:bCs w:val="0"/>
          <w:sz w:val="22"/>
          <w:szCs w:val="21"/>
          <w:lang w:val="pt-BR"/>
        </w:rPr>
        <w:t>É permitida a atuação em rede, por duas ou mais OSCs, para a realização de ações coincidentes (quando há identidade de intervenções) ou de ações diferentes e complementares à execução do objeto da parceria, nos termos do art. 35-A da Lei nº 13.019, de 2014, devendo a rede ser composta por:</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uma “OSC celebrante” da parceria com a Administração Pública Municipal (aquela que assinar o termo de fomento), que ficará responsável pela rede e atuará como sua supervisora, mobilizadora e orientadora, podendo participar diretamente ou não da execução do objeto; e</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uma ou mais “OSCs executantes e não celebrantes” da parceria com a Administração Pública Municipal, que deverão executar ações relacionadas ao objeto da parceria definidas em comum acordo com a OSC celebrante.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4.3.1.</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atuação em rede será formalizada entre a OSC celebrante e cada uma das OSCs executantes e não celebrantes mediante assinatura de termo de atuação em rede, que especificará direitos e obrigações recíprocas, e estabelecerá, no mínimo, as ações, as metas e os prazos que serão desenvolvidos pela OSC executante e não celebrante e o valor a ser repassado pela OSC celebrante.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4.3.2.</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OSC celebrante deverá comunicar à Administração Pública Municipal a assinatura do termo de atuação em rede no prazo de até 60 (sessenta) dias, contado da data de assinatura do termo de atuação em rede. Não é exigível que o termo de atuação em rede seja celebrado antes da data de assinatura do termo de fomento.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4.3.3.</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OSC celebrante da parceria com a Administração Pública Municipal:</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será responsável pelos atos realizados pela rede, não podendo seus direitos e obrigações ser sub-rogados à OSC executante e não celebrante; 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b) deverá possuir mais de 5 (cinco) anos de inscrição no CNPJ e, ainda, capacidade técnica e operacional para supervisionar e orientar diretamente a atuação da organização que com ela estiver atuando em rede.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REQUISITOS E IMPEDIMENTOS PARA A CELEBRAÇÃO DO TERMO DE FOMENTO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Para a celebração do termo de fomento, a OSC deverá atender aos seguintes requisitos:</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 §§ 2º e 3º,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ser regida por normas de organização interna que prevejam, expressamente, escrituração de acordo com os princípios fundamentais de contabilidade e com as Normas Brasileiras de Contabilidade (art. 33, caput, inciso IV,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possuir, no mínimo 01 (um) anos de existência, com cadastro ativo, comprovados por meio de documentação emitida pela Secretaria da Receita Federal do Brasil, com base no Cadastro Nacional da Pessoa Jurídica – CNPJ (art. 33, caput, inciso V, alínea “a”,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possuir experiência prévia na realização, com efetividade, do objeto da parceria ou de natureza semelhante, pelo prazo mínimo de 1 (um) ano, a ser comprovada no momento da apresentação do plano de trabalho e na forma do art. 23, inc. III, do Decreto Municipal nº 35/2021 (art. 33, caput, inciso V, alínea “b”, da Lei nº 13.019, de 2014); </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w:t>
      </w:r>
      <w:r>
        <w:rPr>
          <w:rFonts w:hint="default" w:asciiTheme="minorAscii" w:hAnsiTheme="minorAscii"/>
          <w:b w:val="0"/>
          <w:bCs w:val="0"/>
          <w:i/>
          <w:iCs/>
          <w:color w:val="auto"/>
          <w:sz w:val="22"/>
          <w:szCs w:val="21"/>
          <w:lang w:val="pt-BR"/>
        </w:rPr>
        <w:t>Anexo II – Declaração sobre Instalações e Condições Materiais</w:t>
      </w:r>
      <w:r>
        <w:rPr>
          <w:rFonts w:hint="default" w:asciiTheme="minorAscii" w:hAnsiTheme="minorAscii"/>
          <w:b w:val="0"/>
          <w:bCs w:val="0"/>
          <w:color w:val="auto"/>
          <w:sz w:val="22"/>
          <w:szCs w:val="21"/>
          <w:lang w:val="pt-BR"/>
        </w:rPr>
        <w:t>.</w:t>
      </w:r>
      <w:r>
        <w:rPr>
          <w:rFonts w:hint="default" w:asciiTheme="minorAscii" w:hAnsiTheme="minorAscii"/>
          <w:b w:val="0"/>
          <w:bCs w:val="0"/>
          <w:sz w:val="22"/>
          <w:szCs w:val="21"/>
          <w:lang w:val="pt-BR"/>
        </w:rPr>
        <w:t xml:space="preserve">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apresentar certidões de regularidade fiscal, previdenciária, tributária, de contribuições, de dívida ativa e trabalhista, na forma do art. 23, caput, incisos VI a X, do Decreto Municipal nº 35/2021 (art. 34, caput, inciso II,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(art. 34, caput, incisos V e VI, da Lei nº 13.019, de 2014);</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comprovar que funciona no endereço declarado pela entidade, por meio de cópia de documento hábil, a exemplo de conta de consumo ou contrato de locação (art. 34, caput, inciso VII, da Lei nº 13.019, de 2014); e</w:t>
      </w:r>
    </w:p>
    <w:p>
      <w:pPr>
        <w:keepNext w:val="0"/>
        <w:keepLines w:val="0"/>
        <w:pageBreakBefore w:val="0"/>
        <w:widowControl/>
        <w:numPr>
          <w:ilvl w:val="0"/>
          <w:numId w:val="4"/>
        </w:numPr>
        <w:kinsoku/>
        <w:wordWrap/>
        <w:overflowPunct/>
        <w:topLinePunct w:val="0"/>
        <w:autoSpaceDE/>
        <w:autoSpaceDN/>
        <w:bidi w:val="0"/>
        <w:adjustRightInd/>
        <w:snapToGrid/>
        <w:spacing w:before="181" w:beforeLines="50" w:after="0" w:line="240" w:lineRule="auto"/>
        <w:ind w:left="0"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atender às exigências previstas na legislação específica, na hipótese de a OSC se tratar de sociedade cooperativa (art. 2º, inciso I, alínea “b”, e art. 33, §3º, Lei nº 13.019, de 2014).</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Ficará impedida de celebrar o termo de fomento a OSC que: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não esteja regularmente constituída ou, se estrangeira, não esteja autorizada a funcionar no território nacional (art. 39, caput, inciso I,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esteja omissa no dever de prestar contas de parceria anteriormente celebrada (art. 39, caput, inciso II,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 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 tenha tido as contas rejeitadas pela Administração Pública nos últimos 05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 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f) tenha tido contas de parceria julgadas irregulares ou rejeitadas por Tribunal ou Conselho de Contas de qualquer esfera da Federação, em decisão irrecorrível, nos últimos 8 (oito) anos (art. 39, caput, inciso VI, da Lei nº 13.019, de 2014); ou</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g)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caput, inciso VII, da Lei nº 13.019, de 2014).</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bCs/>
          <w:sz w:val="22"/>
          <w:szCs w:val="21"/>
          <w:lang w:val="pt-BR"/>
        </w:rPr>
        <w:t>DA COMISSÃO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A Comissão de Seleção é o órgão colegiado destinado a processar e julgar o presente Chamamento Público, a ser constituída por no mínimo 03 (três) integrantes do Conselho Municipal dos Direitos da Criança e Adolescente - Comdica, na forma do art. 9º, §2º do Decreto Municipal nº 35/2021, previamente à etapa de avaliação das propostas, conforme Resolução emitida pelo respectivo Conselho de Direito.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6.4.</w:t>
      </w:r>
      <w:r>
        <w:rPr>
          <w:rFonts w:hint="default" w:asciiTheme="minorAscii" w:hAnsiTheme="minorAscii"/>
          <w:b w:val="0"/>
          <w:bCs w:val="0"/>
          <w:sz w:val="22"/>
          <w:szCs w:val="21"/>
          <w:lang w:val="pt-BR"/>
        </w:rPr>
        <w:t xml:space="preserve"> </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Para subsidiar seus trabalhos, a Comissão de Seleção poderá solicitar assessoramento técnico de especialista que não seja membro desse colegiado.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6.5.</w:t>
      </w:r>
      <w:r>
        <w:rPr>
          <w:rFonts w:hint="default" w:asciiTheme="minorAscii" w:hAnsiTheme="minorAscii"/>
          <w:b w:val="0"/>
          <w:bCs w:val="0"/>
          <w:sz w:val="22"/>
          <w:szCs w:val="21"/>
          <w:lang w:val="pt-BR"/>
        </w:rPr>
        <w:t xml:space="preserve"> </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6.6.</w:t>
      </w: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Fica vedada a participação em rede de OSC “executante e não celebrante” que tenha mantido relação jurídica com, no mínimo, um dos integrantes da Comissão de Seleção responsável pelo chamamento público que resultou na celebração da parceria.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DA FASE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A fase de seleção observará as seguintes etapas: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4"/>
          <w:szCs w:val="2"/>
          <w:lang w:val="pt-BR"/>
        </w:rPr>
      </w:pP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lang w:val="pt-BR"/>
        </w:rPr>
      </w:pPr>
      <w:r>
        <w:rPr>
          <w:rFonts w:hint="default" w:cs="Arial" w:asciiTheme="minorAscii" w:hAnsiTheme="minorAscii"/>
          <w:b w:val="0"/>
          <w:bCs w:val="0"/>
          <w:sz w:val="22"/>
          <w:szCs w:val="21"/>
          <w:lang w:val="pt-BR"/>
        </w:rPr>
        <w:t>Tabela 1</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5165"/>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vertAlign w:val="baseline"/>
                <w:lang w:val="pt-BR"/>
              </w:rPr>
            </w:pPr>
            <w:r>
              <w:rPr>
                <w:rFonts w:hint="default" w:cs="Arial" w:asciiTheme="minorAscii" w:hAnsiTheme="minorAscii"/>
                <w:b/>
                <w:bCs/>
                <w:sz w:val="22"/>
                <w:szCs w:val="21"/>
                <w:vertAlign w:val="baseline"/>
                <w:lang w:val="pt-BR"/>
              </w:rPr>
              <w:t>ETAPA</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vertAlign w:val="baseline"/>
                <w:lang w:val="pt-BR"/>
              </w:rPr>
            </w:pPr>
            <w:r>
              <w:rPr>
                <w:rFonts w:hint="default" w:cs="Arial" w:asciiTheme="minorAscii" w:hAnsiTheme="minorAscii"/>
                <w:b/>
                <w:bCs/>
                <w:sz w:val="22"/>
                <w:szCs w:val="21"/>
                <w:vertAlign w:val="baseline"/>
                <w:lang w:val="pt-BR"/>
              </w:rPr>
              <w:t>DESCRIÇÃO DA ETAPA</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bCs/>
                <w:sz w:val="22"/>
                <w:szCs w:val="21"/>
                <w:vertAlign w:val="baseline"/>
                <w:lang w:val="pt-BR"/>
              </w:rPr>
            </w:pPr>
            <w:r>
              <w:rPr>
                <w:rFonts w:hint="default" w:cs="Arial" w:asciiTheme="minorAscii" w:hAnsiTheme="minorAscii"/>
                <w:b/>
                <w:bCs/>
                <w:sz w:val="22"/>
                <w:szCs w:val="21"/>
                <w:vertAlign w:val="baseline"/>
                <w:lang w:val="pt-BR"/>
              </w:rPr>
              <w:t>DATAS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1</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Publicação do Edital de Chamamento Público</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20/01/2023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2</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Envio das propostas pela OSCs</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Até 20/02/2023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3</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Etapa competitiva de avaliação das propostas pela Comissão de Seleção</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De 21/02 a 24/02/2023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4</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Divulgação do resultado preliminar</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27/02/2023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5</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Interposição de recursos contra o resultado preliminar</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Até 02/03/2023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6</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Analise dos recursos pela Comissão de Seleção</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08/03/2023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1"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7</w:t>
            </w:r>
          </w:p>
        </w:tc>
        <w:tc>
          <w:tcPr>
            <w:tcW w:w="5169"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Homoloção e publicação do resultado definitivo, com divulgação das decições recursais proferidas</w:t>
            </w:r>
          </w:p>
        </w:tc>
        <w:tc>
          <w:tcPr>
            <w:tcW w:w="2172"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vertAlign w:val="baseline"/>
                <w:lang w:val="pt-BR"/>
              </w:rPr>
            </w:pPr>
            <w:r>
              <w:rPr>
                <w:rFonts w:hint="default" w:cs="Arial" w:asciiTheme="minorAscii" w:hAnsiTheme="minorAscii"/>
                <w:b w:val="0"/>
                <w:bCs w:val="0"/>
                <w:sz w:val="22"/>
                <w:szCs w:val="21"/>
                <w:vertAlign w:val="baseline"/>
                <w:lang w:val="pt-BR"/>
              </w:rPr>
              <w:t>08/03/2023</w:t>
            </w:r>
          </w:p>
        </w:tc>
      </w:tr>
    </w:tbl>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da(s) OSC(s) selecionada(s) ou mais bem classificada(s), nos termos do art. 28 da Lei nº 13.019, de 2014.</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bCs/>
          <w:sz w:val="22"/>
          <w:szCs w:val="21"/>
          <w:lang w:val="pt-BR"/>
        </w:rPr>
        <w:t>ETAPA 1: PUBLICAÇÃO DO EDITAL DE CHAMAMENTO PÚBLICO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O presente Edital será divulgado em sua íntegra na página do sítio eletrônico oficial do Município de Não-Me-Toque (RS) na internet (www.naometoque.rs.gov.br) e seu extrato publicado em jornal de circulação local, com prazo mínimo de 30 (trinta) dias para a apresentação das propostas, contado da data de publicação do Edital.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bCs/>
          <w:sz w:val="22"/>
          <w:szCs w:val="21"/>
          <w:lang w:val="pt-BR"/>
        </w:rPr>
        <w:t>ETAPA 2: ENVIO DAS PROPOSTAS PELA OSC</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cs="Arial" w:asciiTheme="minorAscii" w:hAnsiTheme="minorAscii"/>
          <w:b w:val="0"/>
          <w:bCs w:val="0"/>
          <w:sz w:val="22"/>
          <w:szCs w:val="21"/>
          <w:lang w:val="pt-BR"/>
        </w:rPr>
        <w:t xml:space="preserve">As propostas serão apresentadas pelas OSCs </w:t>
      </w:r>
      <w:r>
        <w:rPr>
          <w:rFonts w:hint="default" w:asciiTheme="minorAscii" w:hAnsiTheme="minorAscii"/>
          <w:b w:val="0"/>
          <w:bCs w:val="0"/>
          <w:sz w:val="22"/>
          <w:szCs w:val="21"/>
          <w:lang w:val="pt-BR"/>
        </w:rPr>
        <w:t>em envelope fechado e com identificação da instituição proponente e meios de contato (telefone e e-mail), com a inscrição “Proposta – Edital de Chamamento Público nº</w:t>
      </w:r>
      <w:r>
        <w:rPr>
          <w:rFonts w:hint="default" w:asciiTheme="minorAscii" w:hAnsiTheme="minorAscii"/>
          <w:b w:val="0"/>
          <w:bCs w:val="0"/>
          <w:color w:val="auto"/>
          <w:sz w:val="22"/>
          <w:szCs w:val="21"/>
          <w:highlight w:val="none"/>
          <w:lang w:val="pt-BR"/>
        </w:rPr>
        <w:t xml:space="preserve"> 001/2023</w:t>
      </w:r>
      <w:r>
        <w:rPr>
          <w:rFonts w:hint="default" w:asciiTheme="minorAscii" w:hAnsiTheme="minorAscii"/>
          <w:b w:val="0"/>
          <w:bCs w:val="0"/>
          <w:sz w:val="22"/>
          <w:szCs w:val="21"/>
          <w:lang w:val="pt-BR"/>
        </w:rPr>
        <w:t>”, e entregues através de protocolo no Centro Administrativo Municipal, sito na Avenida Alto Jacuí, nº 840, até às 17hs do dia 20.02.2023.</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 proposta, em uma única via impressa, deverá ter todas as folhas rubricadas e numeradas sequencialmente e, ao final, ser assinada pelo representante legal da OSC proponente, juntamento com os documentos descritos no Item 4.2 do presente Edital.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Após o prazo limite para apresentação das propostas, nenhuma outra será recebida, assim como não serão aceitos adendos ou esclarecimentos que não forem explícita e formalmente solicitados pela Administração Pública Municipal.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Cada OSC poderá apresentar apenas uma proposta. Caso venha a apresentar mais de uma proposta dentro do prazo, será considerada apenas a última proposta enviada conforme item 7.4.1. deste Edital.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As propostas deverão conter, no mínimo, as informações abaixo, conforme proposta de modelo - </w:t>
      </w:r>
      <w:r>
        <w:rPr>
          <w:rFonts w:hint="default" w:asciiTheme="minorAscii" w:hAnsiTheme="minorAscii"/>
          <w:b w:val="0"/>
          <w:bCs w:val="0"/>
          <w:i/>
          <w:iCs/>
          <w:sz w:val="22"/>
          <w:szCs w:val="21"/>
          <w:lang w:val="pt-BR"/>
        </w:rPr>
        <w:t>Anexo III: Proposta</w:t>
      </w:r>
      <w:r>
        <w:rPr>
          <w:rFonts w:hint="default" w:asciiTheme="minorAscii" w:hAnsiTheme="minorAscii"/>
          <w:b w:val="0"/>
          <w:bCs w:val="0"/>
          <w:sz w:val="22"/>
          <w:szCs w:val="21"/>
          <w:lang w:val="pt-BR"/>
        </w:rPr>
        <w:t>:</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 descrição da realidade objeto da parceria e o nexo com a atividade ou o projeto proposto;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as ações a serem executadas, as metas a serem atingidas e os indicadores que aferirão o cumprimento das metas;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 os prazos para a execução das ações e para o cumprimento das metas; 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d) o valor global, observado o teto limite descrito no item 9.3 deste Edital.</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3: AVALIAÇÃO DAS PROPOSTAS PELA COMISSÃO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A Comissão de Seleção terá o prazo estabelecido na Tabela 1 (Item 7.1) para conclusão do julgamento das propostas e divulgação do resultado preliminar do processo de seleção, podendo tal prazo ser prorrogado, de forma devidamente justificada, por até mais 05 (cinco) dias.</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As propostas deverão conter informações que atendem aos critérios de julgamento estabelecidos na Tabela 2 abaixo.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A avaliação individualizada e a pontuação serão feitas com base nos critérios de julgamento apresentados no quadro a seguir:</w:t>
      </w:r>
    </w:p>
    <w:tbl>
      <w:tblPr>
        <w:tblStyle w:val="3"/>
        <w:tblpPr w:leftFromText="180" w:rightFromText="180" w:vertAnchor="text" w:horzAnchor="page" w:tblpX="1983" w:tblpY="263"/>
        <w:tblOverlap w:val="never"/>
        <w:tblW w:w="7940" w:type="dxa"/>
        <w:tblInd w:w="0" w:type="dxa"/>
        <w:tblLayout w:type="fixed"/>
        <w:tblCellMar>
          <w:top w:w="0" w:type="dxa"/>
          <w:left w:w="0" w:type="dxa"/>
          <w:bottom w:w="0" w:type="dxa"/>
          <w:right w:w="0" w:type="dxa"/>
        </w:tblCellMar>
      </w:tblPr>
      <w:tblGrid>
        <w:gridCol w:w="2552"/>
        <w:gridCol w:w="4062"/>
        <w:gridCol w:w="1326"/>
      </w:tblGrid>
      <w:tr>
        <w:tblPrEx>
          <w:tblCellMar>
            <w:top w:w="0" w:type="dxa"/>
            <w:left w:w="0" w:type="dxa"/>
            <w:bottom w:w="0" w:type="dxa"/>
            <w:right w:w="0" w:type="dxa"/>
          </w:tblCellMar>
        </w:tblPrEx>
        <w:trPr>
          <w:trHeight w:val="454" w:hRule="atLeast"/>
        </w:trPr>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Critérios de</w:t>
            </w:r>
          </w:p>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Julgamento</w:t>
            </w:r>
          </w:p>
        </w:tc>
        <w:tc>
          <w:tcPr>
            <w:tcW w:w="4062" w:type="dxa"/>
            <w:tcBorders>
              <w:top w:val="single" w:color="000000" w:sz="4" w:space="0"/>
              <w:left w:val="single" w:color="000000" w:sz="4" w:space="0"/>
              <w:bottom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Metodologia de Pontuação</w:t>
            </w:r>
          </w:p>
        </w:tc>
        <w:tc>
          <w:tcPr>
            <w:tcW w:w="1326" w:type="dxa"/>
            <w:tcBorders>
              <w:top w:val="single" w:color="000000" w:sz="4" w:space="0"/>
              <w:left w:val="single" w:color="000000" w:sz="4" w:space="0"/>
              <w:bottom w:val="single" w:color="000000" w:sz="4" w:space="0"/>
              <w:right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Pontuação</w:t>
            </w:r>
            <w:r>
              <w:rPr>
                <w:rFonts w:hint="default" w:ascii="Calibri" w:hAnsi="Calibri" w:eastAsia="Times New Roman" w:cs="Calibri"/>
                <w:b/>
                <w:color w:val="auto"/>
                <w:sz w:val="18"/>
                <w:szCs w:val="18"/>
                <w:lang w:val="pt-BR" w:eastAsia="ar-SA"/>
              </w:rPr>
              <w:t xml:space="preserve"> </w:t>
            </w:r>
            <w:r>
              <w:rPr>
                <w:rFonts w:hint="default" w:ascii="Calibri" w:hAnsi="Calibri" w:eastAsia="Times New Roman" w:cs="Calibri"/>
                <w:b/>
                <w:color w:val="auto"/>
                <w:sz w:val="18"/>
                <w:szCs w:val="18"/>
                <w:lang w:eastAsia="ar-SA"/>
              </w:rPr>
              <w:t>Máxima por Item</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(A) Informações sobre ações a serem executadas, metas a serem atingidas, indicadores que aferirão o cumprimento das metas e prazos para a execução das ações e para o cumprimento das metas</w:t>
            </w:r>
          </w:p>
        </w:tc>
        <w:tc>
          <w:tcPr>
            <w:tcW w:w="4062"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pleno de atendimento (4,0 pontos)</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satisfatório de atendimento (2,0 pontos)</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O não atendimento ou o atendimento insatisfatório (0,0).</w:t>
            </w:r>
          </w:p>
        </w:tc>
        <w:tc>
          <w:tcPr>
            <w:tcW w:w="1326"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4,0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(B) Adequação da proposta aos objetivos da política, do plano, do programa ou da ação em que se insere a parceria</w:t>
            </w:r>
          </w:p>
        </w:tc>
        <w:tc>
          <w:tcPr>
            <w:tcW w:w="4062"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pleno de adequação (2,0)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satisfatório de adequação (1,0)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O não atendimento ou o atendimento insatisfatório do requisito de adequação (0,0).</w:t>
            </w:r>
          </w:p>
        </w:tc>
        <w:tc>
          <w:tcPr>
            <w:tcW w:w="1326"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(C) Descrição da realidade objeto da parceria e do nexo entre essa realidade e a atividade ou projeto proposto</w:t>
            </w:r>
          </w:p>
        </w:tc>
        <w:tc>
          <w:tcPr>
            <w:tcW w:w="4062"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pleno da descrição (2,0)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satisfatório da descrição (1,0)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O não atendimento ou o atendimento insatisfatório (0,0).</w:t>
            </w:r>
          </w:p>
        </w:tc>
        <w:tc>
          <w:tcPr>
            <w:tcW w:w="1326"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2,0</w:t>
            </w:r>
          </w:p>
        </w:tc>
      </w:tr>
      <w:tr>
        <w:tblPrEx>
          <w:tblCellMar>
            <w:top w:w="0" w:type="dxa"/>
            <w:left w:w="0" w:type="dxa"/>
            <w:bottom w:w="0" w:type="dxa"/>
            <w:right w:w="0" w:type="dxa"/>
          </w:tblCellMar>
        </w:tblPrEx>
        <w:tc>
          <w:tcPr>
            <w:tcW w:w="2552" w:type="dxa"/>
            <w:tcBorders>
              <w:top w:val="single" w:color="000000" w:sz="4" w:space="0"/>
              <w:left w:val="single" w:color="000000" w:sz="4" w:space="0"/>
              <w:bottom w:val="single" w:color="000000" w:sz="4" w:space="0"/>
            </w:tcBorders>
          </w:tcPr>
          <w:p>
            <w:pPr>
              <w:suppressAutoHyphens/>
              <w:snapToGrid w:val="0"/>
              <w:spacing w:before="120" w:after="120" w:line="240" w:lineRule="auto"/>
              <w:ind w:left="142" w:right="180"/>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xml:space="preserve">(D) </w:t>
            </w:r>
            <w:r>
              <w:rPr>
                <w:rFonts w:hint="default" w:ascii="Calibri" w:hAnsi="Calibri" w:eastAsia="Times New Roman" w:cs="Calibri"/>
                <w:color w:val="auto"/>
                <w:sz w:val="18"/>
                <w:szCs w:val="18"/>
                <w:lang w:val="pt-BR" w:eastAsia="ar-SA"/>
              </w:rPr>
              <w:t>Atendimento ao limite do valor disponibilizado para a OSC, e viabilidade de pagamento das despesas descritas.</w:t>
            </w:r>
            <w:r>
              <w:rPr>
                <w:rFonts w:hint="default" w:ascii="Calibri" w:hAnsi="Calibri" w:eastAsia="Times New Roman" w:cs="Calibri"/>
                <w:color w:val="auto"/>
                <w:sz w:val="18"/>
                <w:szCs w:val="18"/>
                <w:lang w:eastAsia="ar-SA"/>
              </w:rPr>
              <w:t xml:space="preserve"> </w:t>
            </w:r>
          </w:p>
        </w:tc>
        <w:tc>
          <w:tcPr>
            <w:tcW w:w="4062" w:type="dxa"/>
            <w:tcBorders>
              <w:top w:val="single" w:color="000000" w:sz="4" w:space="0"/>
              <w:left w:val="single" w:color="000000" w:sz="4" w:space="0"/>
              <w:bottom w:val="single" w:color="000000" w:sz="4" w:space="0"/>
            </w:tcBorders>
            <w:vAlign w:val="center"/>
          </w:tcPr>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xml:space="preserve">- Grau pleno de capacidade técnico-operacional (2,0). </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Grau satisfatório de capacidade técnico-operacional (1,0).</w:t>
            </w:r>
          </w:p>
          <w:p>
            <w:pPr>
              <w:suppressAutoHyphens/>
              <w:snapToGrid w:val="0"/>
              <w:spacing w:before="120" w:after="120" w:line="240" w:lineRule="auto"/>
              <w:ind w:left="52" w:right="141"/>
              <w:jc w:val="both"/>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 O não atendimento ou o atendimento insatisfatório do requisito de capacidade técnico-operacional (0,0).</w:t>
            </w:r>
          </w:p>
        </w:tc>
        <w:tc>
          <w:tcPr>
            <w:tcW w:w="1326" w:type="dxa"/>
            <w:tcBorders>
              <w:top w:val="single" w:color="000000" w:sz="4" w:space="0"/>
              <w:left w:val="single" w:color="000000" w:sz="4" w:space="0"/>
              <w:bottom w:val="single" w:color="000000" w:sz="4" w:space="0"/>
              <w:right w:val="single" w:color="000000" w:sz="4" w:space="0"/>
            </w:tcBorders>
            <w:vAlign w:val="center"/>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2,0</w:t>
            </w:r>
          </w:p>
        </w:tc>
      </w:tr>
      <w:tr>
        <w:tblPrEx>
          <w:tblCellMar>
            <w:top w:w="0" w:type="dxa"/>
            <w:left w:w="0" w:type="dxa"/>
            <w:bottom w:w="0" w:type="dxa"/>
            <w:right w:w="0" w:type="dxa"/>
          </w:tblCellMar>
        </w:tblPrEx>
        <w:tc>
          <w:tcPr>
            <w:tcW w:w="6614" w:type="dxa"/>
            <w:gridSpan w:val="2"/>
            <w:tcBorders>
              <w:top w:val="single" w:color="000000" w:sz="4" w:space="0"/>
              <w:left w:val="single" w:color="000000" w:sz="4" w:space="0"/>
              <w:bottom w:val="single" w:color="000000" w:sz="4" w:space="0"/>
            </w:tcBorders>
          </w:tcPr>
          <w:p>
            <w:pPr>
              <w:suppressAutoHyphens/>
              <w:snapToGrid w:val="0"/>
              <w:spacing w:before="120" w:after="120" w:line="240" w:lineRule="auto"/>
              <w:jc w:val="center"/>
              <w:rPr>
                <w:rFonts w:hint="default" w:ascii="Calibri" w:hAnsi="Calibri" w:eastAsia="Times New Roman" w:cs="Calibri"/>
                <w:b/>
                <w:color w:val="auto"/>
                <w:sz w:val="18"/>
                <w:szCs w:val="18"/>
                <w:lang w:eastAsia="ar-SA"/>
              </w:rPr>
            </w:pPr>
            <w:r>
              <w:rPr>
                <w:rFonts w:hint="default" w:ascii="Calibri" w:hAnsi="Calibri" w:eastAsia="Times New Roman" w:cs="Calibri"/>
                <w:b/>
                <w:color w:val="auto"/>
                <w:sz w:val="18"/>
                <w:szCs w:val="18"/>
                <w:lang w:eastAsia="ar-SA"/>
              </w:rPr>
              <w:t>Pontuação Máxima Global</w:t>
            </w:r>
          </w:p>
        </w:tc>
        <w:tc>
          <w:tcPr>
            <w:tcW w:w="1326" w:type="dxa"/>
            <w:tcBorders>
              <w:top w:val="single" w:color="000000" w:sz="4" w:space="0"/>
              <w:left w:val="single" w:color="000000" w:sz="4" w:space="0"/>
              <w:bottom w:val="single" w:color="000000" w:sz="4" w:space="0"/>
              <w:right w:val="single" w:color="000000" w:sz="4" w:space="0"/>
            </w:tcBorders>
          </w:tcPr>
          <w:p>
            <w:pPr>
              <w:suppressAutoHyphens/>
              <w:snapToGrid w:val="0"/>
              <w:spacing w:before="120" w:after="120" w:line="240" w:lineRule="auto"/>
              <w:ind w:right="141"/>
              <w:jc w:val="center"/>
              <w:rPr>
                <w:rFonts w:hint="default" w:ascii="Calibri" w:hAnsi="Calibri" w:eastAsia="Times New Roman" w:cs="Calibri"/>
                <w:color w:val="auto"/>
                <w:sz w:val="18"/>
                <w:szCs w:val="18"/>
                <w:lang w:eastAsia="ar-SA"/>
              </w:rPr>
            </w:pPr>
            <w:r>
              <w:rPr>
                <w:rFonts w:hint="default" w:ascii="Calibri" w:hAnsi="Calibri" w:eastAsia="Times New Roman" w:cs="Calibri"/>
                <w:color w:val="auto"/>
                <w:sz w:val="18"/>
                <w:szCs w:val="18"/>
                <w:lang w:eastAsia="ar-SA"/>
              </w:rPr>
              <w:t>10,0</w:t>
            </w:r>
          </w:p>
        </w:tc>
      </w:tr>
    </w:tbl>
    <w:p>
      <w:pPr>
        <w:keepNext w:val="0"/>
        <w:keepLines w:val="0"/>
        <w:pageBreakBefore w:val="0"/>
        <w:widowControl/>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Tabela 2</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A falsidade de informações nas propostas,deverá acarretar a eliminação da proposta, podendo ensejar, ainda, a aplicação de sanção administrativa contra a instituição proponente e comunicação do fato às autoridades competentes, inclusive para apuração do cometimento de eventual crime.</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Serão eliminadas aquelas propostas: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cuja pontuação total for inferior a 6,0 (seis) pontos;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 que estejam em desacordo com o Edital; ou</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d) cujo valor global estiver acima do teto previsto no</w:t>
      </w:r>
      <w:r>
        <w:rPr>
          <w:rFonts w:hint="default" w:asciiTheme="minorAscii" w:hAnsiTheme="minorAscii"/>
          <w:b w:val="0"/>
          <w:bCs w:val="0"/>
          <w:color w:val="FF0000"/>
          <w:sz w:val="22"/>
          <w:szCs w:val="21"/>
          <w:highlight w:val="none"/>
          <w:lang w:val="pt-BR"/>
        </w:rPr>
        <w:t xml:space="preserve"> </w:t>
      </w:r>
      <w:r>
        <w:rPr>
          <w:rFonts w:hint="default" w:asciiTheme="minorAscii" w:hAnsiTheme="minorAscii"/>
          <w:b w:val="0"/>
          <w:bCs w:val="0"/>
          <w:color w:val="auto"/>
          <w:sz w:val="22"/>
          <w:szCs w:val="21"/>
          <w:highlight w:val="none"/>
          <w:lang w:val="pt-BR"/>
        </w:rPr>
        <w:t xml:space="preserve">item 9.3 </w:t>
      </w:r>
      <w:r>
        <w:rPr>
          <w:rFonts w:hint="default" w:asciiTheme="minorAscii" w:hAnsiTheme="minorAscii"/>
          <w:b w:val="0"/>
          <w:bCs w:val="0"/>
          <w:sz w:val="22"/>
          <w:szCs w:val="21"/>
          <w:lang w:val="pt-BR"/>
        </w:rPr>
        <w:t>deste Edital.</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(D) e (C). Caso essas regras não solucionem o empate, será considerada vencedora a entidade com mais tempo de constituição e, em último caso, a questão será decidida por sorteio.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4: DIVULGAÇÃO DO RESULTADO PRELIMINAR</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 Administração Pública divulgará o resultado preliminar do processo de seleção até as 17hs do dia 27.02.2023, no mural de publicação dos atos administrativos, localizado no Centro Administrativo, sito na Avenida Alto Jacuí, nº 840, iniciando-se o prazo para recurso no dia seguinte.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5: INTERPOSIÇÃO DE RECURSOS CONTRA O RESULTADO PRELIMINAR</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lang w:val="pt-BR"/>
        </w:rPr>
        <w:t>O</w:t>
      </w:r>
      <w:r>
        <w:rPr>
          <w:rFonts w:hint="default" w:asciiTheme="minorAscii" w:hAnsiTheme="minorAscii"/>
          <w:sz w:val="22"/>
          <w:szCs w:val="21"/>
        </w:rPr>
        <w:t xml:space="preserve">s participantes que desejarem recorrer contra o resultado preliminar deverão apresentar recurso administrativo, no prazo de </w:t>
      </w:r>
      <w:r>
        <w:rPr>
          <w:rFonts w:hint="default" w:asciiTheme="minorAscii" w:hAnsiTheme="minorAscii"/>
          <w:sz w:val="22"/>
          <w:szCs w:val="21"/>
          <w:lang w:val="pt-BR"/>
        </w:rPr>
        <w:t>03</w:t>
      </w:r>
      <w:r>
        <w:rPr>
          <w:rFonts w:hint="default" w:asciiTheme="minorAscii" w:hAnsiTheme="minorAscii"/>
          <w:sz w:val="22"/>
          <w:szCs w:val="21"/>
        </w:rPr>
        <w:t xml:space="preserve"> (</w:t>
      </w:r>
      <w:r>
        <w:rPr>
          <w:rFonts w:hint="default" w:asciiTheme="minorAscii" w:hAnsiTheme="minorAscii"/>
          <w:sz w:val="22"/>
          <w:szCs w:val="21"/>
          <w:lang w:val="pt-BR"/>
        </w:rPr>
        <w:t>três</w:t>
      </w:r>
      <w:r>
        <w:rPr>
          <w:rFonts w:hint="default" w:asciiTheme="minorAscii" w:hAnsiTheme="minorAscii"/>
          <w:sz w:val="22"/>
          <w:szCs w:val="21"/>
        </w:rPr>
        <w:t>) dias corridos, contado d</w:t>
      </w:r>
      <w:r>
        <w:rPr>
          <w:rFonts w:hint="default" w:asciiTheme="minorAscii" w:hAnsiTheme="minorAscii"/>
          <w:sz w:val="22"/>
          <w:szCs w:val="21"/>
          <w:lang w:val="pt-BR"/>
        </w:rPr>
        <w:t xml:space="preserve">o dia seguinte a publicação </w:t>
      </w:r>
      <w:r>
        <w:rPr>
          <w:rFonts w:hint="default" w:asciiTheme="minorAscii" w:hAnsiTheme="minorAscii"/>
          <w:sz w:val="22"/>
          <w:szCs w:val="21"/>
        </w:rPr>
        <w:t>da decisão</w:t>
      </w:r>
      <w:r>
        <w:rPr>
          <w:rFonts w:hint="default" w:asciiTheme="minorAscii" w:hAnsiTheme="minorAscii"/>
          <w:sz w:val="22"/>
          <w:szCs w:val="21"/>
          <w:lang w:val="pt-BR"/>
        </w:rPr>
        <w:t xml:space="preserve"> (Item 7.6.1)</w:t>
      </w:r>
      <w:r>
        <w:rPr>
          <w:rFonts w:hint="default" w:asciiTheme="minorAscii" w:hAnsiTheme="minorAscii"/>
          <w:sz w:val="22"/>
          <w:szCs w:val="21"/>
        </w:rPr>
        <w:t>, ao colegiado que a proferiu, sob pena de preclusão. Não será conhecido recurso interposto fora do prazo.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7.7.2.</w:t>
      </w:r>
      <w:r>
        <w:rPr>
          <w:rFonts w:hint="default" w:asciiTheme="minorAscii" w:hAnsiTheme="minorAscii"/>
          <w:sz w:val="22"/>
          <w:szCs w:val="21"/>
        </w:rPr>
        <w:t xml:space="preserve"> </w:t>
      </w:r>
      <w:r>
        <w:rPr>
          <w:rFonts w:hint="default" w:asciiTheme="minorAscii" w:hAnsiTheme="minorAscii"/>
          <w:sz w:val="22"/>
          <w:szCs w:val="21"/>
        </w:rPr>
        <w:tab/>
      </w:r>
      <w:r>
        <w:rPr>
          <w:rFonts w:hint="default" w:asciiTheme="minorAscii" w:hAnsiTheme="minorAscii"/>
          <w:sz w:val="22"/>
          <w:szCs w:val="21"/>
        </w:rPr>
        <w:t xml:space="preserve">Os recursos </w:t>
      </w:r>
      <w:r>
        <w:rPr>
          <w:rFonts w:hint="default" w:asciiTheme="minorAscii" w:hAnsiTheme="minorAscii"/>
          <w:sz w:val="22"/>
          <w:szCs w:val="21"/>
          <w:lang w:val="pt-BR"/>
        </w:rPr>
        <w:t xml:space="preserve">poderão ser </w:t>
      </w:r>
      <w:r>
        <w:rPr>
          <w:rFonts w:hint="default" w:asciiTheme="minorAscii" w:hAnsiTheme="minorAscii"/>
          <w:sz w:val="22"/>
          <w:szCs w:val="21"/>
        </w:rPr>
        <w:t>apresentados por</w:t>
      </w:r>
      <w:r>
        <w:rPr>
          <w:rFonts w:hint="default" w:asciiTheme="minorAscii" w:hAnsiTheme="minorAscii"/>
          <w:sz w:val="22"/>
          <w:szCs w:val="21"/>
          <w:lang w:val="pt-BR"/>
        </w:rPr>
        <w:t xml:space="preserve"> escrito, mediante protocolo no Centro Administrativo, sito na Avenida Alto Jacuí, nº 840, ou de forma eletrônica, mediante anexação do arquivo com as razões do recurso, encaminhado ao e-mail “comdica@naometoque.rs.gov.br”</w:t>
      </w:r>
      <w:r>
        <w:rPr>
          <w:rFonts w:hint="default" w:asciiTheme="minorAscii" w:hAnsiTheme="minorAscii"/>
          <w:sz w:val="22"/>
          <w:szCs w:val="21"/>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7.7.3.</w:t>
      </w:r>
      <w:r>
        <w:rPr>
          <w:rFonts w:hint="default" w:asciiTheme="minorAscii" w:hAnsiTheme="minorAscii"/>
          <w:sz w:val="22"/>
          <w:szCs w:val="21"/>
        </w:rPr>
        <w:t xml:space="preserve"> </w:t>
      </w:r>
      <w:r>
        <w:rPr>
          <w:rFonts w:hint="default" w:asciiTheme="minorAscii" w:hAnsiTheme="minorAscii"/>
          <w:sz w:val="22"/>
          <w:szCs w:val="21"/>
        </w:rPr>
        <w:tab/>
      </w:r>
      <w:r>
        <w:rPr>
          <w:rFonts w:hint="default" w:asciiTheme="minorAscii" w:hAnsiTheme="minorAscii"/>
          <w:sz w:val="22"/>
          <w:szCs w:val="21"/>
        </w:rPr>
        <w:t xml:space="preserve">É assegurado aos participantes obter cópia dos elementos dos autos indispensáveis à defesa de seus interesses, preferencialmente por via eletrônica, </w:t>
      </w:r>
      <w:r>
        <w:rPr>
          <w:rFonts w:hint="default" w:asciiTheme="minorAscii" w:hAnsiTheme="minorAscii"/>
          <w:sz w:val="22"/>
          <w:szCs w:val="21"/>
          <w:lang w:val="pt-BR"/>
        </w:rPr>
        <w:t>mediante solicitação ao e-mail acima descrito</w:t>
      </w:r>
      <w:r>
        <w:rPr>
          <w:rFonts w:hint="default" w:asciiTheme="minorAscii" w:hAnsiTheme="minorAscii"/>
          <w:sz w:val="22"/>
          <w:szCs w:val="21"/>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rPr>
        <w:t>7.7.4.</w:t>
      </w:r>
      <w:r>
        <w:rPr>
          <w:rFonts w:hint="default" w:asciiTheme="minorAscii" w:hAnsiTheme="minorAscii"/>
          <w:sz w:val="22"/>
          <w:szCs w:val="21"/>
          <w:lang w:val="pt-BR"/>
        </w:rPr>
        <w:tab/>
      </w:r>
      <w:r>
        <w:rPr>
          <w:rFonts w:hint="default" w:asciiTheme="minorAscii" w:hAnsiTheme="minorAscii"/>
          <w:sz w:val="22"/>
          <w:szCs w:val="21"/>
        </w:rPr>
        <w:t xml:space="preserve">Interposto recurso, </w:t>
      </w:r>
      <w:r>
        <w:rPr>
          <w:rFonts w:hint="default" w:asciiTheme="minorAscii" w:hAnsiTheme="minorAscii"/>
          <w:sz w:val="22"/>
          <w:szCs w:val="21"/>
          <w:lang w:val="pt-BR"/>
        </w:rPr>
        <w:t>se</w:t>
      </w:r>
      <w:r>
        <w:rPr>
          <w:rFonts w:hint="default" w:asciiTheme="minorAscii" w:hAnsiTheme="minorAscii"/>
          <w:sz w:val="22"/>
          <w:szCs w:val="21"/>
        </w:rPr>
        <w:t xml:space="preserve"> </w:t>
      </w:r>
      <w:r>
        <w:rPr>
          <w:rFonts w:hint="default" w:asciiTheme="minorAscii" w:hAnsiTheme="minorAscii"/>
          <w:sz w:val="22"/>
          <w:szCs w:val="21"/>
          <w:lang w:val="pt-BR"/>
        </w:rPr>
        <w:t xml:space="preserve">dará </w:t>
      </w:r>
      <w:r>
        <w:rPr>
          <w:rFonts w:hint="default" w:asciiTheme="minorAscii" w:hAnsiTheme="minorAscii"/>
          <w:sz w:val="22"/>
          <w:szCs w:val="21"/>
        </w:rPr>
        <w:t xml:space="preserve">ciência dele para os demais interessados para que, no prazo de </w:t>
      </w:r>
      <w:r>
        <w:rPr>
          <w:rFonts w:hint="default" w:asciiTheme="minorAscii" w:hAnsiTheme="minorAscii"/>
          <w:sz w:val="22"/>
          <w:szCs w:val="21"/>
          <w:lang w:val="pt-BR"/>
        </w:rPr>
        <w:t>02</w:t>
      </w:r>
      <w:r>
        <w:rPr>
          <w:rFonts w:hint="default" w:asciiTheme="minorAscii" w:hAnsiTheme="minorAscii"/>
          <w:sz w:val="22"/>
          <w:szCs w:val="21"/>
        </w:rPr>
        <w:t xml:space="preserve"> (</w:t>
      </w:r>
      <w:r>
        <w:rPr>
          <w:rFonts w:hint="default" w:asciiTheme="minorAscii" w:hAnsiTheme="minorAscii"/>
          <w:sz w:val="22"/>
          <w:szCs w:val="21"/>
          <w:lang w:val="pt-BR"/>
        </w:rPr>
        <w:t>dois</w:t>
      </w:r>
      <w:r>
        <w:rPr>
          <w:rFonts w:hint="default" w:asciiTheme="minorAscii" w:hAnsiTheme="minorAscii"/>
          <w:sz w:val="22"/>
          <w:szCs w:val="21"/>
        </w:rPr>
        <w:t xml:space="preserve">) dias corridos, contado imediatamente após o encerramento do prazo recursal, apresentem contrarrazões, se desejarem. </w:t>
      </w:r>
      <w:r>
        <w:rPr>
          <w:rFonts w:hint="default" w:asciiTheme="minorAscii" w:hAnsiTheme="minorAscii"/>
          <w:sz w:val="22"/>
          <w:szCs w:val="21"/>
          <w:lang w:val="pt-BR"/>
        </w:rPr>
        <w:t>As contrarrazões serão apresentadas</w:t>
      </w:r>
      <w:r>
        <w:rPr>
          <w:rFonts w:hint="default" w:asciiTheme="minorAscii" w:hAnsiTheme="minorAscii"/>
          <w:sz w:val="22"/>
          <w:szCs w:val="21"/>
        </w:rPr>
        <w:t>, preferencialmente por meio eletrônico,</w:t>
      </w:r>
      <w:r>
        <w:rPr>
          <w:rFonts w:hint="default" w:asciiTheme="minorAscii" w:hAnsiTheme="minorAscii"/>
          <w:sz w:val="22"/>
          <w:szCs w:val="21"/>
          <w:lang w:val="pt-BR"/>
        </w:rPr>
        <w:t xml:space="preserve"> por intermédio do e-mail “comdica@naometoque.rs.gov.br”</w:t>
      </w:r>
      <w:r>
        <w:rPr>
          <w:rFonts w:hint="default" w:asciiTheme="minorAscii" w:hAnsiTheme="minorAscii"/>
          <w:sz w:val="22"/>
          <w:szCs w:val="21"/>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6: ANALISE DOS RECURSOS PELA COMISSÃO DE SELEÇÃO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Havendo recursos, a Comissão de Seleção os analisará.</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7.8.2.</w:t>
      </w:r>
      <w:r>
        <w:rPr>
          <w:rFonts w:hint="default" w:asciiTheme="minorAscii" w:hAnsiTheme="minorAscii"/>
          <w:sz w:val="22"/>
          <w:szCs w:val="21"/>
        </w:rPr>
        <w:tab/>
      </w:r>
      <w:r>
        <w:rPr>
          <w:rFonts w:hint="default" w:asciiTheme="minorAscii" w:hAnsiTheme="minorAscii"/>
          <w:sz w:val="22"/>
          <w:szCs w:val="21"/>
        </w:rPr>
        <w:t>Recebido o recurso, a Comissão de Seleção poderá reconsiderar sua decisão no prazo de 5 (cinco) dias corridos, contados do fim do prazo para recebimento das contrarrazões, ou, dentro desse mesmo prazo, encaminhar o recurso ao</w:t>
      </w:r>
      <w:r>
        <w:rPr>
          <w:rFonts w:hint="default" w:asciiTheme="minorAscii" w:hAnsiTheme="minorAscii"/>
          <w:sz w:val="22"/>
          <w:szCs w:val="21"/>
          <w:lang w:val="pt-BR"/>
        </w:rPr>
        <w:t xml:space="preserve"> Prefeito Municipal</w:t>
      </w:r>
      <w:r>
        <w:rPr>
          <w:rFonts w:hint="default" w:asciiTheme="minorAscii" w:hAnsiTheme="minorAscii"/>
          <w:sz w:val="22"/>
          <w:szCs w:val="21"/>
        </w:rPr>
        <w:t>, com as informações necessárias à decisão final.</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7.8.3.</w:t>
      </w:r>
      <w:r>
        <w:rPr>
          <w:rFonts w:hint="default" w:asciiTheme="minorAscii" w:hAnsiTheme="minorAscii"/>
          <w:sz w:val="22"/>
          <w:szCs w:val="21"/>
          <w:lang w:val="pt-BR"/>
        </w:rPr>
        <w:tab/>
      </w:r>
      <w:r>
        <w:rPr>
          <w:rFonts w:hint="default" w:asciiTheme="minorAscii" w:hAnsiTheme="minorAscii"/>
          <w:sz w:val="22"/>
          <w:szCs w:val="21"/>
        </w:rPr>
        <w:t>A decisão final do recurso, devidamente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7.8.4.</w:t>
      </w:r>
      <w:r>
        <w:rPr>
          <w:rFonts w:hint="default" w:asciiTheme="minorAscii" w:hAnsiTheme="minorAscii"/>
          <w:sz w:val="22"/>
          <w:szCs w:val="21"/>
        </w:rPr>
        <w:tab/>
      </w:r>
      <w:r>
        <w:rPr>
          <w:rFonts w:hint="default" w:asciiTheme="minorAscii" w:hAnsiTheme="minorAscii"/>
          <w:sz w:val="22"/>
          <w:szCs w:val="21"/>
        </w:rPr>
        <w:t>Na contagem dos prazos, exclui-se o dia do início e inclui-se o do vencimento. Os prazos se iniciam e expiram exclusivamente em dia útil no âmbito do órgão ou entidade responsável pela condução do processo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rPr>
        <w:t>7.8.5.</w:t>
      </w:r>
      <w:r>
        <w:rPr>
          <w:rFonts w:hint="default" w:asciiTheme="minorAscii" w:hAnsiTheme="minorAscii"/>
          <w:sz w:val="22"/>
          <w:szCs w:val="21"/>
        </w:rPr>
        <w:tab/>
      </w:r>
      <w:r>
        <w:rPr>
          <w:rFonts w:hint="default" w:asciiTheme="minorAscii" w:hAnsiTheme="minorAscii"/>
          <w:sz w:val="22"/>
          <w:szCs w:val="21"/>
        </w:rPr>
        <w:t>O acolhimento de recurso implicará invalidação apenas dos atos insuscetíveis de aproveitamento.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7: HOMOLOGAÇÃO E PUBLICAÇÃO DO RESULTADO DEFINITIVO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 xml:space="preserve">Após o julgamento dos recursos ou o transcurso do prazo sem interposição de recurso, </w:t>
      </w:r>
      <w:r>
        <w:rPr>
          <w:rFonts w:hint="default" w:asciiTheme="minorAscii" w:hAnsiTheme="minorAscii"/>
          <w:sz w:val="22"/>
          <w:szCs w:val="21"/>
          <w:lang w:val="pt-BR"/>
        </w:rPr>
        <w:t>a Comissão de Seleção</w:t>
      </w:r>
      <w:r>
        <w:rPr>
          <w:rFonts w:hint="default" w:asciiTheme="minorAscii" w:hAnsiTheme="minorAscii"/>
          <w:sz w:val="22"/>
          <w:szCs w:val="21"/>
        </w:rPr>
        <w:t xml:space="preserve"> deverá homologar e divulgar, no </w:t>
      </w:r>
      <w:r>
        <w:rPr>
          <w:rFonts w:hint="default" w:asciiTheme="minorAscii" w:hAnsiTheme="minorAscii"/>
          <w:sz w:val="22"/>
          <w:szCs w:val="21"/>
          <w:lang w:val="pt-BR"/>
        </w:rPr>
        <w:t>mural de publicação dos atos administrativos</w:t>
      </w:r>
      <w:r>
        <w:rPr>
          <w:rFonts w:hint="default" w:asciiTheme="minorAscii" w:hAnsiTheme="minorAscii"/>
          <w:sz w:val="22"/>
          <w:szCs w:val="21"/>
        </w:rPr>
        <w:t xml:space="preserve">, </w:t>
      </w:r>
      <w:r>
        <w:rPr>
          <w:rFonts w:hint="default" w:asciiTheme="minorAscii" w:hAnsiTheme="minorAscii"/>
          <w:sz w:val="22"/>
          <w:szCs w:val="21"/>
          <w:lang w:val="pt-BR"/>
        </w:rPr>
        <w:t xml:space="preserve">localizado na Avenida Alto Jacuí, nº 840, </w:t>
      </w:r>
      <w:r>
        <w:rPr>
          <w:rFonts w:hint="default" w:asciiTheme="minorAscii" w:hAnsiTheme="minorAscii"/>
          <w:sz w:val="22"/>
          <w:szCs w:val="21"/>
        </w:rPr>
        <w:t>as decisões recursais proferidas e o resultado definitivo do processo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rPr>
        <w:t>7.9.</w:t>
      </w:r>
      <w:r>
        <w:rPr>
          <w:rFonts w:hint="default" w:asciiTheme="minorAscii" w:hAnsiTheme="minorAscii"/>
          <w:b/>
          <w:bCs/>
          <w:sz w:val="22"/>
          <w:szCs w:val="21"/>
          <w:lang w:val="pt-BR"/>
        </w:rPr>
        <w:t>2</w:t>
      </w:r>
      <w:r>
        <w:rPr>
          <w:rFonts w:hint="default" w:asciiTheme="minorAscii" w:hAnsiTheme="minorAscii"/>
          <w:b/>
          <w:bCs/>
          <w:sz w:val="22"/>
          <w:szCs w:val="21"/>
        </w:rPr>
        <w:t>.</w:t>
      </w:r>
      <w:r>
        <w:rPr>
          <w:rFonts w:hint="default" w:asciiTheme="minorAscii" w:hAnsiTheme="minorAscii"/>
          <w:sz w:val="22"/>
          <w:szCs w:val="21"/>
          <w:lang w:val="pt-BR"/>
        </w:rPr>
        <w:tab/>
      </w:r>
      <w:r>
        <w:rPr>
          <w:rFonts w:hint="default" w:asciiTheme="minorAscii" w:hAnsiTheme="minorAscii"/>
          <w:sz w:val="22"/>
          <w:szCs w:val="21"/>
        </w:rPr>
        <w:t>A homologação não gera direito para a OSC à celebração da parceria (art. 27, §6º,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rPr>
        <w:t>7.9.</w:t>
      </w:r>
      <w:r>
        <w:rPr>
          <w:rFonts w:hint="default" w:asciiTheme="minorAscii" w:hAnsiTheme="minorAscii"/>
          <w:b/>
          <w:bCs/>
          <w:sz w:val="22"/>
          <w:szCs w:val="21"/>
          <w:lang w:val="pt-BR"/>
        </w:rPr>
        <w:t>3</w:t>
      </w:r>
      <w:r>
        <w:rPr>
          <w:rFonts w:hint="default" w:asciiTheme="minorAscii" w:hAnsiTheme="minorAscii"/>
          <w:b/>
          <w:bCs/>
          <w:sz w:val="22"/>
          <w:szCs w:val="21"/>
        </w:rPr>
        <w:t>.</w:t>
      </w:r>
      <w:r>
        <w:rPr>
          <w:rFonts w:hint="default" w:asciiTheme="minorAscii" w:hAnsiTheme="minorAscii"/>
          <w:sz w:val="22"/>
          <w:szCs w:val="21"/>
          <w:lang w:val="pt-BR"/>
        </w:rPr>
        <w:tab/>
      </w:r>
      <w:r>
        <w:rPr>
          <w:rFonts w:hint="default" w:asciiTheme="minorAscii" w:hAnsiTheme="minorAscii"/>
          <w:sz w:val="22"/>
          <w:szCs w:val="21"/>
        </w:rPr>
        <w:t xml:space="preserve">Após o recebimento e julgamento das propostas, havendo uma única entidade com proposta classificada (não eliminada), e desde que atendidas as exigências deste Edital, a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ública poderá dar prosseguimento ao processo de seleção e convocá-la para iniciar o processo de celebração.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DA FACE DE CELEBRAÇÃO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 fase de celebração observará as seguintes etapas até a assinatura do instrumento de parceria:</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jc w:val="center"/>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Tabela 3</w:t>
      </w:r>
    </w:p>
    <w:tbl>
      <w:tblPr>
        <w:tblStyle w:val="3"/>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7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sz w:val="18"/>
                <w:szCs w:val="18"/>
                <w:lang w:eastAsia="en-US"/>
              </w:rPr>
            </w:pPr>
            <w:r>
              <w:rPr>
                <w:rFonts w:hint="default" w:ascii="Calibri" w:hAnsi="Calibri" w:eastAsia="Calibri" w:cs="Calibri"/>
                <w:b/>
                <w:sz w:val="18"/>
                <w:szCs w:val="18"/>
                <w:lang w:eastAsia="en-US"/>
              </w:rPr>
              <w:t>ETAPA</w:t>
            </w:r>
          </w:p>
        </w:tc>
        <w:tc>
          <w:tcPr>
            <w:tcW w:w="7654" w:type="dxa"/>
            <w:shd w:val="clear" w:color="auto" w:fill="auto"/>
          </w:tcPr>
          <w:p>
            <w:pPr>
              <w:suppressAutoHyphens w:val="0"/>
              <w:spacing w:before="120" w:after="120" w:line="240" w:lineRule="auto"/>
              <w:rPr>
                <w:rFonts w:hint="default" w:ascii="Calibri" w:hAnsi="Calibri" w:eastAsia="Calibri" w:cs="Calibri"/>
                <w:b/>
                <w:sz w:val="18"/>
                <w:szCs w:val="18"/>
                <w:lang w:eastAsia="en-US"/>
              </w:rPr>
            </w:pPr>
            <w:r>
              <w:rPr>
                <w:rFonts w:hint="default" w:ascii="Calibri" w:hAnsi="Calibri" w:eastAsia="Calibri" w:cs="Calibri"/>
                <w:b/>
                <w:sz w:val="18"/>
                <w:szCs w:val="18"/>
                <w:lang w:eastAsia="en-US"/>
              </w:rPr>
              <w:t>DESCRIÇÃO DA ETAPA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1</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Times New Roman" w:cs="Calibri"/>
                <w:sz w:val="18"/>
                <w:szCs w:val="18"/>
                <w:lang w:eastAsia="pt-BR"/>
              </w:rPr>
              <w:t>Convocação da OSC selecionada para a</w:t>
            </w:r>
            <w:r>
              <w:rPr>
                <w:rFonts w:hint="default" w:ascii="Calibri" w:hAnsi="Calibri" w:eastAsia="Times New Roman" w:cs="Calibri"/>
                <w:color w:val="000000"/>
                <w:sz w:val="18"/>
                <w:szCs w:val="18"/>
                <w:lang w:eastAsia="pt-BR"/>
              </w:rPr>
              <w:t>presentação do plano de trabalho e comprovação do atendimento dos requisitos para celebração da parceria e de que não incorre nos impedimentos (vedações) legais</w:t>
            </w:r>
            <w:r>
              <w:rPr>
                <w:rFonts w:hint="default" w:ascii="Calibri" w:hAnsi="Calibri" w:eastAsia="Times New Roman" w:cs="Calibri"/>
                <w:sz w:val="18"/>
                <w:szCs w:val="18"/>
                <w:lang w:eastAsia="ar-SA"/>
              </w:rPr>
              <w:t>.</w:t>
            </w:r>
            <w:r>
              <w:rPr>
                <w:rFonts w:hint="default" w:ascii="Calibri" w:hAnsi="Calibri" w:eastAsia="Calibri" w:cs="Calibri"/>
                <w:sz w:val="18"/>
                <w:szCs w:val="18"/>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2</w:t>
            </w:r>
          </w:p>
        </w:tc>
        <w:tc>
          <w:tcPr>
            <w:tcW w:w="7654" w:type="dxa"/>
            <w:shd w:val="clear" w:color="auto" w:fill="auto"/>
          </w:tcPr>
          <w:p>
            <w:pPr>
              <w:suppressAutoHyphens w:val="0"/>
              <w:spacing w:before="120" w:after="120" w:line="240" w:lineRule="auto"/>
              <w:jc w:val="both"/>
              <w:rPr>
                <w:rFonts w:hint="default" w:ascii="Calibri" w:hAnsi="Calibri" w:eastAsia="Times New Roman" w:cs="Calibri"/>
                <w:sz w:val="18"/>
                <w:szCs w:val="18"/>
                <w:lang w:eastAsia="ar-SA"/>
              </w:rPr>
            </w:pPr>
            <w:r>
              <w:rPr>
                <w:rFonts w:hint="default" w:ascii="Calibri" w:hAnsi="Calibri" w:eastAsia="Calibri" w:cs="Calibri"/>
                <w:sz w:val="18"/>
                <w:szCs w:val="18"/>
                <w:lang w:eastAsia="en-US"/>
              </w:rPr>
              <w:t xml:space="preserve">Verificação do cumprimento dos requisitos </w:t>
            </w:r>
            <w:r>
              <w:rPr>
                <w:rFonts w:hint="default" w:ascii="Calibri" w:hAnsi="Calibri" w:eastAsia="Times New Roman" w:cs="Calibri"/>
                <w:color w:val="000000"/>
                <w:sz w:val="18"/>
                <w:szCs w:val="18"/>
                <w:lang w:eastAsia="pt-BR"/>
              </w:rPr>
              <w:t>para celebração da parceria e de que não incorre nos impedimentos (vedações) legais</w:t>
            </w:r>
            <w:r>
              <w:rPr>
                <w:rFonts w:hint="default" w:ascii="Calibri" w:hAnsi="Calibri" w:eastAsia="Times New Roman" w:cs="Calibri"/>
                <w:sz w:val="18"/>
                <w:szCs w:val="18"/>
                <w:lang w:eastAsia="ar-SA"/>
              </w:rPr>
              <w:t xml:space="preserve">. </w:t>
            </w:r>
            <w:r>
              <w:rPr>
                <w:rFonts w:hint="default" w:ascii="Calibri" w:hAnsi="Calibri" w:eastAsia="Calibri" w:cs="Calibri"/>
                <w:sz w:val="18"/>
                <w:szCs w:val="18"/>
                <w:lang w:eastAsia="en-US"/>
              </w:rPr>
              <w:t>Análise do plano de trabalho.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3</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Calibri" w:cs="Calibri"/>
                <w:sz w:val="18"/>
                <w:szCs w:val="18"/>
                <w:lang w:eastAsia="en-US"/>
              </w:rPr>
              <w:t>Ajustes no plano de trabalho e regularização de documentação, se necessário.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4</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Calibri" w:cs="Calibri"/>
                <w:sz w:val="18"/>
                <w:szCs w:val="18"/>
                <w:lang w:eastAsia="en-US"/>
              </w:rPr>
              <w:t>Parecer de órgão técnico e assinatura do termo de fomento.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suppressAutoHyphens w:val="0"/>
              <w:spacing w:before="120" w:after="120" w:line="240" w:lineRule="auto"/>
              <w:rPr>
                <w:rFonts w:hint="default" w:ascii="Calibri" w:hAnsi="Calibri" w:eastAsia="Calibri" w:cs="Calibri"/>
                <w:b w:val="0"/>
                <w:bCs/>
                <w:sz w:val="18"/>
                <w:szCs w:val="18"/>
                <w:lang w:eastAsia="en-US"/>
              </w:rPr>
            </w:pPr>
            <w:r>
              <w:rPr>
                <w:rFonts w:hint="default" w:ascii="Calibri" w:hAnsi="Calibri" w:eastAsia="Calibri" w:cs="Calibri"/>
                <w:b w:val="0"/>
                <w:bCs/>
                <w:sz w:val="18"/>
                <w:szCs w:val="18"/>
                <w:lang w:eastAsia="en-US"/>
              </w:rPr>
              <w:t>5</w:t>
            </w:r>
          </w:p>
        </w:tc>
        <w:tc>
          <w:tcPr>
            <w:tcW w:w="7654" w:type="dxa"/>
            <w:shd w:val="clear" w:color="auto" w:fill="auto"/>
          </w:tcPr>
          <w:p>
            <w:pPr>
              <w:suppressAutoHyphens w:val="0"/>
              <w:spacing w:before="120" w:after="120" w:line="240" w:lineRule="auto"/>
              <w:jc w:val="both"/>
              <w:rPr>
                <w:rFonts w:hint="default" w:ascii="Calibri" w:hAnsi="Calibri" w:eastAsia="Calibri" w:cs="Calibri"/>
                <w:sz w:val="18"/>
                <w:szCs w:val="18"/>
                <w:lang w:eastAsia="en-US"/>
              </w:rPr>
            </w:pPr>
            <w:r>
              <w:rPr>
                <w:rFonts w:hint="default" w:ascii="Calibri" w:hAnsi="Calibri" w:eastAsia="Calibri" w:cs="Calibri"/>
                <w:sz w:val="18"/>
                <w:szCs w:val="18"/>
                <w:lang w:eastAsia="en-US"/>
              </w:rPr>
              <w:t>Publicação do extrato do termo de fomento no Diário Oficial da União.</w:t>
            </w:r>
          </w:p>
        </w:tc>
      </w:tr>
    </w:tbl>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ETAPA 1: CONVOCAÇÃO DA OSC PARA APRESENTAÇÃO DO PLANO DE TRABALHO E COMPROVAÇÃO DE ATENDIMENTO AOS REQUISITOS LEGAIS</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Para a celebração da parceria, a Administração Pública Municipal convocará a OSC selecionada para, no prazo de 10 (dez) dias corridos a partir da convocação, apresentar o seu plano de trabalho e a documentação exigida para comprovação dos requisitos para a celebração da parceria e de que não incorre nos impedimentos legais, conforme Item 5.1 e 5.2 deste Edital (arts. 28, caput, 33, 34 e 39 da Lei nº 13.019, de 2014 e art. 23 do Decreto Municipal nº 35/2021).</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i/>
          <w:iCs/>
          <w:color w:val="auto"/>
          <w:sz w:val="22"/>
          <w:szCs w:val="21"/>
          <w:lang w:val="pt-BR"/>
        </w:rPr>
      </w:pPr>
      <w:r>
        <w:rPr>
          <w:rFonts w:hint="default" w:asciiTheme="minorAscii" w:hAnsiTheme="minorAscii"/>
          <w:b w:val="0"/>
          <w:bCs w:val="0"/>
          <w:sz w:val="22"/>
          <w:szCs w:val="21"/>
          <w:lang w:val="pt-BR"/>
        </w:rPr>
        <w:t xml:space="preserve">Por meio do plano de trabalho, a OSC selecionada deverá apresentar o detalhamento da proposta submetida e aprovada no processo de seleção, com todos os pormenores exigidos pela legislação (em especial o art. 22 da Lei nº 13.019, de 2014, e o art. 27 do Decreto Municipal nº 35/2021), observado o </w:t>
      </w:r>
      <w:r>
        <w:rPr>
          <w:rFonts w:hint="default" w:asciiTheme="minorAscii" w:hAnsiTheme="minorAscii"/>
          <w:b w:val="0"/>
          <w:bCs w:val="0"/>
          <w:i/>
          <w:iCs/>
          <w:color w:val="auto"/>
          <w:sz w:val="22"/>
          <w:szCs w:val="21"/>
          <w:lang w:val="pt-BR"/>
        </w:rPr>
        <w:t>Anexos IV – Modelo de Plano de Trabalho.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O plano de trabalho deverá conter, no mínimo, os seguintes elementos: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 descrição da realidade objeto da parceria, devendo ser demonstrado o nexo com a atividade ou o projeto e com as metas a serem atingidas;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a forma de execução das ações, indicando, quando cabível, as que demandarão atuação em rede;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c) a descrição de metas quantitativas e mensuráveis a serem atingidas; </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 a definição dos indicadores, documentos e outros meios a serem utilizados para a aferição do cumprimento das metas;</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 a previsão de receitas e a estimativa de despesas a serem realizadas na execução das ações, incluindo os encargos sociais e trabalhistas e a discriminação dos custos diretos e indiretos necessários à execução do objeto; e</w:t>
      </w:r>
    </w:p>
    <w:p>
      <w:pPr>
        <w:keepNext w:val="0"/>
        <w:keepLines w:val="0"/>
        <w:pageBreakBefore w:val="0"/>
        <w:widowControl/>
        <w:numPr>
          <w:ilvl w:val="0"/>
          <w:numId w:val="0"/>
        </w:numPr>
        <w:kinsoku/>
        <w:wordWrap/>
        <w:overflowPunct/>
        <w:topLinePunct w:val="0"/>
        <w:autoSpaceDE/>
        <w:autoSpaceDN/>
        <w:bidi w:val="0"/>
        <w:adjustRightInd/>
        <w:snapToGrid/>
        <w:spacing w:before="181" w:beforeLines="50" w:after="0" w:line="240" w:lineRule="auto"/>
        <w:ind w:leftChars="0" w:firstLine="708"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f) os valores a serem repassados mediante cronograma de desembolso.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cs="Arial" w:asciiTheme="minorAscii" w:hAnsiTheme="minorAscii"/>
          <w:b/>
          <w:bCs/>
          <w:sz w:val="22"/>
          <w:szCs w:val="21"/>
          <w:lang w:val="pt-BR"/>
        </w:rPr>
        <w:t>8.2.4.</w:t>
      </w:r>
      <w:r>
        <w:rPr>
          <w:rFonts w:hint="default" w:cs="Arial" w:asciiTheme="minorAscii" w:hAnsiTheme="minorAscii"/>
          <w:b/>
          <w:bCs/>
          <w:sz w:val="22"/>
          <w:szCs w:val="21"/>
          <w:lang w:val="pt-BR"/>
        </w:rPr>
        <w:tab/>
      </w:r>
      <w:r>
        <w:rPr>
          <w:rFonts w:hint="default" w:asciiTheme="minorAscii" w:hAnsiTheme="minorAscii"/>
          <w:b w:val="0"/>
          <w:bCs w:val="0"/>
          <w:sz w:val="22"/>
          <w:szCs w:val="21"/>
          <w:lang w:val="pt-BR"/>
        </w:rPr>
        <w:t>A previsão de receitas e despesas de que trata a alínea “e” do item 8.2.3.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8.2.5.</w:t>
      </w:r>
      <w:r>
        <w:rPr>
          <w:rFonts w:hint="default" w:asciiTheme="minorAscii" w:hAnsiTheme="minorAscii"/>
          <w:b/>
          <w:bCs/>
          <w:sz w:val="22"/>
          <w:szCs w:val="21"/>
          <w:lang w:val="pt-BR"/>
        </w:rPr>
        <w:tab/>
      </w:r>
      <w:r>
        <w:rPr>
          <w:rFonts w:hint="default" w:asciiTheme="minorAscii" w:hAnsiTheme="minorAscii"/>
          <w:b w:val="0"/>
          <w:bCs w:val="0"/>
          <w:sz w:val="22"/>
          <w:szCs w:val="21"/>
          <w:lang w:val="pt-BR"/>
        </w:rPr>
        <w:t>Além da apresentação do plano de trabalho, a OSC selecionada, no mesmo prazo acima de 10 (dez) dias corridos, deverá comprovar o cumprimento dos requisitos previstos  no Item 5.1 e 5.2. deste Edital, que serão verificados por meio da apresentação dos seguintes documentos: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 xml:space="preserve">I) cópia do estatuto registrado e suas alterações, em conformidade com as exigências previstas no art. 33 da Lei nº 13.019, de 2014;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II) comprovante de inscrição no Cadastro Nacional da Pessoa Jurídica - CNPJ, emitido no sítio eletrônico oficial da Secretaria da Receita Federal do Brasil, para demonstrar que a OSC existe há, no mínimo, um anos com cadastro ativo;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b/>
      </w:r>
      <w:r>
        <w:rPr>
          <w:rFonts w:hint="default" w:asciiTheme="minorAscii" w:hAnsiTheme="minorAscii"/>
          <w:b w:val="0"/>
          <w:bCs w:val="0"/>
          <w:sz w:val="22"/>
          <w:szCs w:val="21"/>
          <w:lang w:val="pt-BR"/>
        </w:rPr>
        <w:t>III) comprovante de experiência prévia na realização, com efetividade, do objeto da parceria ou de natureza semelhante, através de quaisquer dos seguintes documentos: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instrumento de parceria firmados com órgãos e entidades da administração pública, cooperação internacional, empresas ou com outras organizações da sociedade civil;</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b) relatório de atividades com comprovação das ações desenvolvidas;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c) notícias veiculadas na mídia em diferentes suportes sobre atividades desenvolvidas;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d) declarações de experiência prévia com comprovação das ações desenvolvidas, emitidas por redes, organizações da sociedade civil, movimentos sociais, empresas públicas ou privadas, conselhos de políticas públicas ou órgãos públicos;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 quaisquer documentos que comprovem experiência e aptidão para cumprimento do objeto que será desenvolvido, submetidos à apreciação da Comissão de Seleção.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sz w:val="22"/>
          <w:szCs w:val="21"/>
          <w:lang w:val="pt-BR"/>
        </w:rPr>
        <w:t xml:space="preserve">IV) declaração do representante legal da organização da sociedade civil sobre a existência de instalações e outras condições materiais da organização, ou sobre a previsão de contratar ou adquirir com recursos da parceria, conforme </w:t>
      </w:r>
      <w:r>
        <w:rPr>
          <w:rFonts w:hint="default" w:asciiTheme="minorAscii" w:hAnsiTheme="minorAscii"/>
          <w:b w:val="0"/>
          <w:bCs w:val="0"/>
          <w:i/>
          <w:iCs/>
          <w:color w:val="auto"/>
          <w:sz w:val="22"/>
          <w:szCs w:val="21"/>
          <w:lang w:val="pt-BR"/>
        </w:rPr>
        <w:t>Anexo II – Declaração sobre Instalações e Condições Materiais</w:t>
      </w:r>
      <w:r>
        <w:rPr>
          <w:rFonts w:hint="default" w:asciiTheme="minorAscii" w:hAnsiTheme="minorAscii"/>
          <w:b w:val="0"/>
          <w:bCs w:val="0"/>
          <w:color w:val="auto"/>
          <w:sz w:val="22"/>
          <w:szCs w:val="21"/>
          <w:lang w:val="pt-BR"/>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 certidão de débitos relativos a créditos tributários federais e à dívida ativa da União, que comprove a regularidade da organização;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VI) certificado de regularidade do fundo de garantia do tempo de serviço - CRF/FGTS, que comprove a regularidade da organização;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VII) certidão de débitos de dívidas trabalhistas - CNDT, que comprove a regularidade da organização;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VII) certidão de situação fiscal estadual;</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IX) certidão de débitos municipais;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 cópia do alvará de funcionamento, quando for o caso;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XI) cópia do alvará sanitário, quando for o caso;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XII) cópia da ata de eleição do quadro de dirigente atual, devidamente registrada;</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XIII) relação nominal atualizada dos dirigentes da organização da sociedade civil, com respectivo endereço, telefone, endereço de correio eletrônico, número e órgão expedidor da carteira de identidade e número de registro no Cadastro de Pessoa Física - CPF, de cada um deles;</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 xml:space="preserve">XIV) comprovante de que a organização da sociedade civil funcione no endereço por ela declarado, através de um dos seguintes documentos: </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a) conta de consumo;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b) contrato de locação;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c) quaisquer documentos que comprovem o endereço de funcionamento.</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XV) declaração expedida pela Administração Municipal de Não-Me-Toque relativa a prestações de contas de recursos anteriormente recebidos no âmbito de parcerias ou instrumentos congêneres, que comprove a regularidade da organização. Não tendo a OSC firmado parceria anterior com a Administração Pública Municipal, deverá ser providenciada certidão negativa de formalização de parceria.</w:t>
      </w:r>
    </w:p>
    <w:p>
      <w:pPr>
        <w:keepNext w:val="0"/>
        <w:keepLines w:val="0"/>
        <w:pageBreakBefore w:val="0"/>
        <w:widowControl/>
        <w:kinsoku/>
        <w:wordWrap/>
        <w:overflowPunct/>
        <w:topLinePunct w:val="0"/>
        <w:autoSpaceDE/>
        <w:autoSpaceDN/>
        <w:bidi w:val="0"/>
        <w:adjustRightInd/>
        <w:snapToGrid/>
        <w:spacing w:before="181" w:beforeLines="50" w:after="0" w:line="240" w:lineRule="auto"/>
        <w:ind w:firstLine="708" w:firstLineChars="0"/>
        <w:jc w:val="both"/>
        <w:textAlignment w:val="auto"/>
        <w:rPr>
          <w:rFonts w:hint="default" w:asciiTheme="minorAscii" w:hAnsiTheme="minorAscii"/>
          <w:b w:val="0"/>
          <w:bCs w:val="0"/>
          <w:color w:val="auto"/>
          <w:sz w:val="22"/>
          <w:szCs w:val="21"/>
          <w:lang w:val="pt-BR"/>
        </w:rPr>
      </w:pPr>
      <w:r>
        <w:rPr>
          <w:rFonts w:hint="default" w:asciiTheme="minorAscii" w:hAnsiTheme="minorAscii"/>
          <w:b w:val="0"/>
          <w:bCs w:val="0"/>
          <w:color w:val="auto"/>
          <w:sz w:val="22"/>
          <w:szCs w:val="21"/>
          <w:lang w:val="pt-BR"/>
        </w:rPr>
        <w:t xml:space="preserve">XVI) declaração, assinada pelo seu representante legal, de que a organização da sociedade civil e seus dirigentes não incorre nas vedações previstas nos incisos I, II, III, IV, V, VI e VII do art. 39 da Lei nº 13.019/14, conforme modelo no </w:t>
      </w:r>
      <w:r>
        <w:rPr>
          <w:rFonts w:hint="default" w:asciiTheme="minorAscii" w:hAnsiTheme="minorAscii"/>
          <w:b w:val="0"/>
          <w:bCs w:val="0"/>
          <w:i/>
          <w:iCs/>
          <w:color w:val="auto"/>
          <w:sz w:val="22"/>
          <w:szCs w:val="21"/>
          <w:lang w:val="pt-BR"/>
        </w:rPr>
        <w:t>Anexo V – Declaração da Não Ocorrência de Impedimentos</w:t>
      </w:r>
      <w:r>
        <w:rPr>
          <w:rFonts w:hint="default" w:asciiTheme="minorAscii" w:hAnsiTheme="minorAscii"/>
          <w:b w:val="0"/>
          <w:bCs w:val="0"/>
          <w:color w:val="auto"/>
          <w:sz w:val="22"/>
          <w:szCs w:val="21"/>
          <w:lang w:val="pt-BR"/>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8.2.6.</w:t>
      </w:r>
      <w:r>
        <w:rPr>
          <w:rFonts w:hint="default" w:asciiTheme="minorAscii" w:hAnsiTheme="minorAscii"/>
          <w:b/>
          <w:bCs/>
          <w:sz w:val="22"/>
          <w:szCs w:val="21"/>
          <w:lang w:val="pt-BR"/>
        </w:rPr>
        <w:tab/>
      </w:r>
      <w:r>
        <w:rPr>
          <w:rFonts w:hint="default" w:asciiTheme="minorAscii" w:hAnsiTheme="minorAscii"/>
          <w:b w:val="0"/>
          <w:bCs w:val="0"/>
          <w:sz w:val="22"/>
          <w:szCs w:val="21"/>
          <w:lang w:val="pt-BR"/>
        </w:rPr>
        <w:t xml:space="preserve"> Serão consideradas regulares as certidões positivas com efeito de negativas, no caso das certidões previstas nos incisos V a IX logo acima.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8.2.7.</w:t>
      </w:r>
      <w:r>
        <w:rPr>
          <w:rFonts w:hint="default" w:asciiTheme="minorAscii" w:hAnsiTheme="minorAscii"/>
          <w:b/>
          <w:bCs/>
          <w:sz w:val="22"/>
          <w:szCs w:val="21"/>
          <w:lang w:val="pt-BR"/>
        </w:rPr>
        <w:tab/>
      </w:r>
      <w:r>
        <w:rPr>
          <w:rFonts w:hint="default" w:asciiTheme="minorAscii" w:hAnsiTheme="minorAscii"/>
          <w:b w:val="0"/>
          <w:bCs w:val="0"/>
          <w:sz w:val="22"/>
          <w:szCs w:val="21"/>
          <w:lang w:val="pt-BR"/>
        </w:rPr>
        <w:t>As OSCs ficarão dispensadas de reapresentar as certidões previstas nos incisos V a IX logo acima que estiverem vencidas no momento da análise, desde que estejam disponíveis eletronicamente.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r>
        <w:rPr>
          <w:rFonts w:hint="default" w:asciiTheme="minorAscii" w:hAnsiTheme="minorAscii"/>
          <w:b/>
          <w:bCs/>
          <w:sz w:val="22"/>
          <w:szCs w:val="21"/>
          <w:lang w:val="pt-BR"/>
        </w:rPr>
        <w:t>8.2.8.</w:t>
      </w:r>
      <w:r>
        <w:rPr>
          <w:rFonts w:hint="default" w:asciiTheme="minorAscii" w:hAnsiTheme="minorAscii"/>
          <w:b/>
          <w:bCs/>
          <w:sz w:val="22"/>
          <w:szCs w:val="21"/>
          <w:lang w:val="pt-BR"/>
        </w:rPr>
        <w:tab/>
      </w:r>
      <w:r>
        <w:rPr>
          <w:rFonts w:hint="default" w:asciiTheme="minorAscii" w:hAnsiTheme="minorAscii"/>
          <w:b w:val="0"/>
          <w:bCs w:val="0"/>
          <w:sz w:val="22"/>
          <w:szCs w:val="21"/>
          <w:lang w:val="pt-BR"/>
        </w:rPr>
        <w:t>O plano de trabalho e os documentos comprobatórios do cumprimento dos requisitos impostos nesta Etapa serão apresentados pela OSC selecionada, em envelope fechado e com identificação da instituição proponente e meios de contato (telefone e e-mail), com a inscrição “Plano de Trabalho – Edital de Chamamento Público nº 001/2023”, e entregues através de protocolo no Centro Administrativo Municipal, sito na Avenida Alto Jacuí, nº 840, até às 17hs do dia 17.03.2023.</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b w:val="0"/>
          <w:bCs w:val="0"/>
          <w:sz w:val="22"/>
          <w:szCs w:val="21"/>
          <w:lang w:val="pt-BR"/>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bCs/>
          <w:sz w:val="22"/>
          <w:szCs w:val="21"/>
          <w:lang w:val="pt-BR"/>
        </w:rPr>
        <w:t>ETAPA 2: VERIFICAÇÃO DO CUMPRIMENTO DOS REQUISITOS PARA CELEBRAÇÃO DA PARCERIA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No momento da verificação do cumprimento dos requisitos para a celebração de parcerias, a Administração Pública Municipal deverá consultar o Cadastro de Entidades Privadas Sem Fins Lucrativos Impedidas – CEPIM, o SICONV, o Sistema Integrado de Administração Financeira do Governo Federal – SIAFI, o Sistema de Cadastramento Unificado de Fornecedores – SICAF, o Cadastro Informativo de Créditos não Quitados do Setor Público Federal – CADIN, o Cadastro Nacional de Empresas Inidôneas e Suspensas – CEIS, o Cadastro 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Administração Pública Municipal examinará o plano de trabalho apresentado pela OSC selecionada ou, se for o caso, pela OSC imediatamente mais bem classificada que tenha sido convocada.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Somente será aprovado o plano de trabalho que estiver de acordo com as informações já apresentadas na proposta apresentada pela OSC, observados os termos e as condições constantes neste Edital e em seus anexos. Para tanto, a Administração Pública Municipal poderá solicitar a realização de ajustes no plano de trabalho.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 xml:space="preserve">ETAPA 3: </w:t>
      </w:r>
      <w:r>
        <w:rPr>
          <w:rFonts w:hint="default" w:asciiTheme="minorAscii" w:hAnsiTheme="minorAscii"/>
          <w:b/>
          <w:bCs/>
          <w:sz w:val="22"/>
          <w:szCs w:val="21"/>
          <w:lang w:val="pt-BR"/>
        </w:rPr>
        <w:t>AJUSTES NO PLANO DE TRABALHO E REGULARIZAÇÃO DE DOCUMENTAÇÃO, SE NECESSÁRIO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Caso se verifique irregularidade formal nos documentos apresentados ou constatado evento que impeça a celebração, a OSC será comunicada do fato e instada a regularizar sua situação, no prazo de 05 (cinco) dias corridos, sob pena de não celebração da parceria.</w:t>
      </w:r>
      <w:r>
        <w:rPr>
          <w:rFonts w:hint="default" w:asciiTheme="minorAscii" w:hAnsiTheme="minorAscii"/>
          <w:b/>
          <w:bCs/>
          <w:sz w:val="22"/>
          <w:szCs w:val="21"/>
          <w:lang w:val="pt-BR"/>
        </w:rPr>
        <w:t xml:space="preserve">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Caso seja constatada necessidade de adequação no plano de trabalho enviado pela OSC, a administração pública solicitará a realização de ajustes e a OSC deverá fazê-lo em até 05 (cinco) dias corridos, contados da data de recebimento da solicitação apresentada.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asciiTheme="minorAscii" w:hAnsiTheme="minorAscii"/>
          <w:b/>
          <w:bCs/>
          <w:sz w:val="22"/>
          <w:szCs w:val="21"/>
          <w:lang w:val="pt-BR"/>
        </w:rPr>
        <w:t>ETAPA 4: PARECER DE ÓRGÃO TÉCNICO E ASSINATURA DO TERMO DE FOMENTO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bCs/>
          <w:sz w:val="22"/>
          <w:szCs w:val="21"/>
          <w:lang w:val="pt-BR"/>
        </w:rPr>
      </w:pPr>
      <w:r>
        <w:rPr>
          <w:rFonts w:hint="default" w:asciiTheme="minorAscii" w:hAnsiTheme="minorAscii"/>
          <w:b w:val="0"/>
          <w:bCs w:val="0"/>
          <w:sz w:val="22"/>
          <w:szCs w:val="21"/>
          <w:lang w:val="pt-BR"/>
        </w:rPr>
        <w:t xml:space="preserve">A celebração do instrumento de parceria dependerá da adoção das providências impostas pela legislação regente, incluindo a aprovação do plano de trabalho, a emissão do parecer técnico pelo órgão ou entidade pública municipal, as designações do gestor da parceria e da Comissão de Monitoramento e Avaliação, e de prévia dotação orçamentária para execução da parceria.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A aprovação do plano de trabalho não gerará direito à celebração da parceria.</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b w:val="0"/>
          <w:bCs w:val="0"/>
          <w:sz w:val="22"/>
          <w:szCs w:val="21"/>
          <w:lang w:val="pt-BR"/>
        </w:rPr>
      </w:pPr>
      <w:r>
        <w:rPr>
          <w:rFonts w:hint="default" w:asciiTheme="minorAscii" w:hAnsiTheme="minorAscii"/>
          <w:b w:val="0"/>
          <w:bCs w:val="0"/>
          <w:sz w:val="22"/>
          <w:szCs w:val="21"/>
          <w:lang w:val="pt-BR"/>
        </w:rPr>
        <w:t xml:space="preserve">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 </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val="0"/>
          <w:bCs w:val="0"/>
          <w:sz w:val="22"/>
          <w:szCs w:val="21"/>
          <w:lang w:val="pt-BR"/>
        </w:rPr>
        <w:t>A OSC deverá comunicar alterações em seus atos societários e no quadro de dirigentes, quando houver.</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val="0"/>
          <w:bCs w:val="0"/>
          <w:sz w:val="22"/>
          <w:szCs w:val="21"/>
          <w:lang w:val="pt-BR"/>
        </w:rPr>
      </w:pPr>
      <w:r>
        <w:rPr>
          <w:rFonts w:hint="default" w:asciiTheme="minorAscii" w:hAnsiTheme="minorAscii"/>
          <w:b/>
          <w:bCs/>
          <w:sz w:val="22"/>
          <w:szCs w:val="21"/>
          <w:lang w:val="pt-BR"/>
        </w:rPr>
        <w:t>ETAPA 5: PUBLICAÇÃO DO EXTRATO DO TERMO DE FOMENTO</w:t>
      </w:r>
    </w:p>
    <w:p>
      <w:pPr>
        <w:keepNext w:val="0"/>
        <w:keepLines w:val="0"/>
        <w:pageBreakBefore w:val="0"/>
        <w:widowControl/>
        <w:numPr>
          <w:ilvl w:val="2"/>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rPr>
        <w:t xml:space="preserve">O termo de fomento somente produzirá efeitos jurídicos após a publicação do respectivo extrato no meio oficial de publicidade da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ública</w:t>
      </w:r>
      <w:r>
        <w:rPr>
          <w:rFonts w:hint="default" w:asciiTheme="minorAscii" w:hAnsiTheme="minorAscii"/>
          <w:sz w:val="22"/>
          <w:szCs w:val="21"/>
          <w:lang w:val="pt-BR"/>
        </w:rPr>
        <w:t>.</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PROGRAMAÇÃO ORÇAMENTÁRIA E VALOR PREVISTO PARA REALIZAÇÃO DO OBJETO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highlight w:val="none"/>
          <w:lang w:val="pt-BR"/>
        </w:rPr>
      </w:pPr>
      <w:r>
        <w:rPr>
          <w:rFonts w:hint="default" w:asciiTheme="minorAscii" w:hAnsiTheme="minorAscii"/>
          <w:b/>
          <w:bCs/>
          <w:sz w:val="22"/>
          <w:szCs w:val="21"/>
          <w:lang w:val="pt-BR"/>
        </w:rPr>
        <w:t>9.1.</w:t>
      </w:r>
      <w:r>
        <w:rPr>
          <w:rFonts w:hint="default" w:asciiTheme="minorAscii" w:hAnsiTheme="minorAscii"/>
          <w:sz w:val="22"/>
          <w:szCs w:val="21"/>
        </w:rPr>
        <w:t xml:space="preserve"> </w:t>
      </w:r>
      <w:r>
        <w:rPr>
          <w:rFonts w:hint="default" w:asciiTheme="minorAscii" w:hAnsiTheme="minorAscii"/>
          <w:sz w:val="22"/>
          <w:szCs w:val="21"/>
        </w:rPr>
        <w:tab/>
      </w:r>
      <w:r>
        <w:rPr>
          <w:rFonts w:hint="default" w:asciiTheme="minorAscii" w:hAnsiTheme="minorAscii"/>
          <w:sz w:val="22"/>
          <w:szCs w:val="21"/>
        </w:rPr>
        <w:t>Os recursos destinados à execução das parcerias de que tratam este Edital são provenientes do orçamento d</w:t>
      </w:r>
      <w:r>
        <w:rPr>
          <w:rFonts w:hint="default" w:asciiTheme="minorAscii" w:hAnsiTheme="minorAscii"/>
          <w:sz w:val="22"/>
          <w:szCs w:val="21"/>
          <w:lang w:val="pt-BR"/>
        </w:rPr>
        <w:t>a Secretaria Municipal de Assistência Social e Habitação, por mieo do Programa nº</w:t>
      </w:r>
      <w:r>
        <w:rPr>
          <w:rFonts w:hint="default" w:asciiTheme="minorAscii" w:hAnsiTheme="minorAscii"/>
          <w:sz w:val="22"/>
          <w:szCs w:val="21"/>
          <w:highlight w:val="none"/>
          <w:lang w:val="pt-BR"/>
        </w:rPr>
        <w:t xml:space="preserve"> </w:t>
      </w:r>
      <w:r>
        <w:rPr>
          <w:rFonts w:hint="default" w:asciiTheme="minorAscii" w:hAnsiTheme="minorAscii"/>
          <w:color w:val="auto"/>
          <w:sz w:val="22"/>
          <w:szCs w:val="21"/>
          <w:highlight w:val="none"/>
          <w:lang w:val="pt-BR"/>
        </w:rPr>
        <w:t>09.21.08.243.0048.0010.</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lang w:val="pt-BR"/>
        </w:rPr>
      </w:pPr>
      <w:r>
        <w:rPr>
          <w:rFonts w:hint="default" w:asciiTheme="minorAscii" w:hAnsiTheme="minorAscii"/>
          <w:b/>
          <w:bCs/>
          <w:sz w:val="22"/>
          <w:szCs w:val="21"/>
          <w:lang w:val="pt-BR"/>
        </w:rPr>
        <w:t>9.2.</w:t>
      </w:r>
      <w:r>
        <w:rPr>
          <w:rFonts w:hint="default" w:asciiTheme="minorAscii" w:hAnsiTheme="minorAscii"/>
          <w:sz w:val="22"/>
          <w:szCs w:val="21"/>
          <w:lang w:val="pt-BR"/>
        </w:rPr>
        <w:tab/>
      </w:r>
      <w:r>
        <w:rPr>
          <w:rFonts w:hint="default" w:asciiTheme="minorAscii" w:hAnsiTheme="minorAscii"/>
          <w:sz w:val="22"/>
          <w:szCs w:val="21"/>
        </w:rPr>
        <w:t xml:space="preserve">O valor total de recursos disponibilizados será de </w:t>
      </w:r>
      <w:r>
        <w:rPr>
          <w:rFonts w:hint="default" w:asciiTheme="minorAscii" w:hAnsiTheme="minorAscii"/>
          <w:sz w:val="22"/>
          <w:szCs w:val="21"/>
          <w:lang w:val="pt-BR"/>
        </w:rPr>
        <w:t>R$ 100.000,00 (cem mil reais)</w:t>
      </w:r>
      <w:r>
        <w:rPr>
          <w:rFonts w:hint="default" w:asciiTheme="minorAscii" w:hAnsiTheme="minorAscii"/>
          <w:color w:val="FF0000"/>
          <w:sz w:val="22"/>
          <w:szCs w:val="21"/>
        </w:rPr>
        <w:t xml:space="preserve"> </w:t>
      </w:r>
      <w:r>
        <w:rPr>
          <w:rFonts w:hint="default" w:asciiTheme="minorAscii" w:hAnsiTheme="minorAscii"/>
          <w:color w:val="auto"/>
          <w:sz w:val="22"/>
          <w:szCs w:val="21"/>
        </w:rPr>
        <w:t>no exercício de 20</w:t>
      </w:r>
      <w:r>
        <w:rPr>
          <w:rFonts w:hint="default" w:asciiTheme="minorAscii" w:hAnsiTheme="minorAscii"/>
          <w:color w:val="auto"/>
          <w:sz w:val="22"/>
          <w:szCs w:val="21"/>
          <w:lang w:val="pt-BR"/>
        </w:rPr>
        <w:t>23, conforme Resolução nº 001/2023</w:t>
      </w:r>
      <w:r>
        <w:rPr>
          <w:rFonts w:hint="default" w:asciiTheme="minorAscii" w:hAnsiTheme="minorAscii"/>
          <w:sz w:val="22"/>
          <w:szCs w:val="21"/>
          <w:lang w:val="pt-BR"/>
        </w:rPr>
        <w:t xml:space="preserve"> do Conselho Municipal dos Direitos da Criança e Adolescente.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r>
        <w:rPr>
          <w:rFonts w:hint="default" w:cs="Arial" w:asciiTheme="minorAscii" w:hAnsiTheme="minorAscii"/>
          <w:b/>
          <w:bCs/>
          <w:sz w:val="22"/>
          <w:szCs w:val="21"/>
          <w:lang w:val="pt-BR"/>
        </w:rPr>
        <w:t>9.3.</w:t>
      </w:r>
      <w:r>
        <w:rPr>
          <w:rFonts w:hint="default" w:cs="Arial" w:asciiTheme="minorAscii" w:hAnsiTheme="minorAscii"/>
          <w:b/>
          <w:bCs/>
          <w:sz w:val="22"/>
          <w:szCs w:val="21"/>
          <w:lang w:val="pt-BR"/>
        </w:rPr>
        <w:tab/>
      </w:r>
      <w:r>
        <w:rPr>
          <w:rFonts w:hint="default" w:asciiTheme="minorAscii" w:hAnsiTheme="minorAscii"/>
          <w:b w:val="0"/>
          <w:bCs w:val="0"/>
          <w:sz w:val="22"/>
          <w:szCs w:val="21"/>
          <w:lang w:val="pt-BR"/>
        </w:rPr>
        <w:t>O valor teto para a realização do objeto do termo de fomento é de R$ 25.000,00 (vinte e cinco mil reais) para cada OSC selecionada. O exato valor a ser repassado será definido no termo de fomento, observada a proposta apresentada pela OSC selecionada.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b w:val="0"/>
          <w:bCs w:val="0"/>
          <w:sz w:val="22"/>
          <w:szCs w:val="21"/>
          <w:lang w:val="pt-BR"/>
        </w:rPr>
      </w:pPr>
      <w:r>
        <w:rPr>
          <w:rFonts w:hint="default" w:cs="Arial" w:asciiTheme="minorAscii" w:hAnsiTheme="minorAscii"/>
          <w:b/>
          <w:bCs/>
          <w:sz w:val="22"/>
          <w:szCs w:val="21"/>
          <w:lang w:val="pt-BR"/>
        </w:rPr>
        <w:t>9.4.</w:t>
      </w:r>
      <w:r>
        <w:rPr>
          <w:rFonts w:hint="default" w:cs="Arial" w:asciiTheme="minorAscii" w:hAnsiTheme="minorAscii"/>
          <w:b/>
          <w:bCs/>
          <w:sz w:val="22"/>
          <w:szCs w:val="21"/>
          <w:lang w:val="pt-BR"/>
        </w:rPr>
        <w:tab/>
      </w:r>
      <w:r>
        <w:rPr>
          <w:rFonts w:hint="default" w:asciiTheme="minorAscii" w:hAnsiTheme="minorAscii"/>
          <w:b w:val="0"/>
          <w:bCs w:val="0"/>
          <w:sz w:val="22"/>
          <w:szCs w:val="21"/>
          <w:lang w:val="pt-BR"/>
        </w:rPr>
        <w:t>As liberações de recursos obedecerão ao cronograma de desembolso, que guardará consonância com as metas da parceria, observado o disposto no art. 48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cs="Arial" w:asciiTheme="minorAscii" w:hAnsiTheme="minorAscii"/>
          <w:b/>
          <w:bCs/>
          <w:sz w:val="22"/>
          <w:szCs w:val="21"/>
          <w:lang w:val="pt-BR"/>
        </w:rPr>
        <w:t>9.5.</w:t>
      </w:r>
      <w:r>
        <w:rPr>
          <w:rFonts w:hint="default" w:cs="Arial" w:asciiTheme="minorAscii" w:hAnsiTheme="minorAscii"/>
          <w:sz w:val="22"/>
          <w:szCs w:val="21"/>
          <w:lang w:val="pt-BR"/>
        </w:rPr>
        <w:tab/>
      </w:r>
      <w:r>
        <w:rPr>
          <w:rFonts w:hint="default" w:asciiTheme="minorAscii" w:hAnsiTheme="minorAscii"/>
          <w:sz w:val="22"/>
          <w:szCs w:val="21"/>
        </w:rPr>
        <w:t>Nas contratações e na realização de despesas e pagamentos em geral efetuados com recursos da parceria, a OSC deverá observar o instrumento de parceria e a legislação regente, em especial o disposto nos incisos XIX e XX do art. 42, nos arts. 45 e 46 da Lei nº 13.019, de 2014. É recomendável a leitura integral dessa legislação, não podendo a OSC ou seu dirigente alegar, futuramente, que não a conhece, seja para deixar de cumpri-la, seja para evitar as sanções cabíveis.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cs="Arial" w:asciiTheme="minorAscii" w:hAnsiTheme="minorAscii"/>
          <w:b/>
          <w:bCs/>
          <w:sz w:val="22"/>
          <w:szCs w:val="21"/>
          <w:lang w:val="pt-BR"/>
        </w:rPr>
        <w:t>9.6.</w:t>
      </w:r>
      <w:r>
        <w:rPr>
          <w:rFonts w:hint="default" w:cs="Arial" w:asciiTheme="minorAscii" w:hAnsiTheme="minorAscii"/>
          <w:b/>
          <w:bCs/>
          <w:sz w:val="22"/>
          <w:szCs w:val="21"/>
          <w:lang w:val="pt-BR"/>
        </w:rPr>
        <w:tab/>
      </w:r>
      <w:r>
        <w:rPr>
          <w:rFonts w:hint="default" w:cs="Arial" w:asciiTheme="minorAscii" w:hAnsiTheme="minorAscii"/>
          <w:b w:val="0"/>
          <w:bCs w:val="0"/>
          <w:sz w:val="22"/>
          <w:szCs w:val="21"/>
          <w:lang w:val="pt-BR"/>
        </w:rPr>
        <w:t>T</w:t>
      </w:r>
      <w:r>
        <w:rPr>
          <w:rFonts w:hint="default" w:asciiTheme="minorAscii" w:hAnsiTheme="minorAscii"/>
          <w:sz w:val="22"/>
          <w:szCs w:val="21"/>
        </w:rPr>
        <w:t>odos os recursos da parceria deverão ser utilizados para satisfação de seu objeto, sendo admitidas, dentre outras despesas previstas e aprovadas no plano de trabalho (art. 46 da Lei nº 13.019, de 2014):</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b) diárias referentes a deslocamento, hospedagem e alimentação nos casos em que a execução do objeto da parceria assim o exija;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c) custos indiretos necessários à execução do objeto, seja qual for a proporção em relação ao valor total da parceria (aluguel, telefone, assessoria jurídica, contador, água, energia, dentre outros); e</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sz w:val="22"/>
          <w:szCs w:val="21"/>
        </w:rPr>
        <w:tab/>
      </w:r>
      <w:r>
        <w:rPr>
          <w:rFonts w:hint="default" w:asciiTheme="minorAscii" w:hAnsiTheme="minorAscii"/>
          <w:sz w:val="22"/>
          <w:szCs w:val="21"/>
        </w:rPr>
        <w:t>d) aquisição de equipamentos e materiais permanentes essenciais à consecução do objeto e serviços de adequação de espaço físico, desde que necessários à instalação dos referidos equipamentos e materiais.</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lang w:val="pt-BR"/>
        </w:rPr>
        <w:t>9.7.</w:t>
      </w:r>
      <w:r>
        <w:rPr>
          <w:rFonts w:hint="default" w:asciiTheme="minorAscii" w:hAnsiTheme="minorAscii"/>
          <w:b/>
          <w:bCs/>
          <w:sz w:val="22"/>
          <w:szCs w:val="21"/>
          <w:lang w:val="pt-BR"/>
        </w:rPr>
        <w:tab/>
      </w:r>
      <w:r>
        <w:rPr>
          <w:rFonts w:hint="default" w:asciiTheme="minorAscii" w:hAnsiTheme="minorAscii"/>
          <w:sz w:val="22"/>
          <w:szCs w:val="21"/>
        </w:rPr>
        <w:t xml:space="preserve">É vedado remunerar, a qualquer título, com recursos vinculados à parceria, servidor ou empregado público, inclusive aquele que exerça cargo em comissão ou função de confiança, de órgão ou entidade da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 xml:space="preserve">ública </w:t>
      </w:r>
      <w:r>
        <w:rPr>
          <w:rFonts w:hint="default" w:asciiTheme="minorAscii" w:hAnsiTheme="minorAscii"/>
          <w:sz w:val="22"/>
          <w:szCs w:val="21"/>
          <w:lang w:val="pt-BR"/>
        </w:rPr>
        <w:t>Municipal</w:t>
      </w:r>
      <w:r>
        <w:rPr>
          <w:rFonts w:hint="default" w:asciiTheme="minorAscii" w:hAnsiTheme="minorAscii"/>
          <w:sz w:val="22"/>
          <w:szCs w:val="21"/>
        </w:rPr>
        <w:t xml:space="preserve"> celebrante, ou seu cônjuge, companheiro ou parente em linha reta, colateral ou por afinidade, até o segundo grau, ressalvadas as hipóteses previstas em lei específica.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asciiTheme="minorAscii" w:hAnsiTheme="minorAscii"/>
          <w:sz w:val="22"/>
          <w:szCs w:val="21"/>
        </w:rPr>
      </w:pPr>
      <w:r>
        <w:rPr>
          <w:rFonts w:hint="default" w:asciiTheme="minorAscii" w:hAnsiTheme="minorAscii"/>
          <w:b/>
          <w:bCs/>
          <w:sz w:val="22"/>
          <w:szCs w:val="21"/>
          <w:lang w:val="pt-BR"/>
        </w:rPr>
        <w:t>9.8.</w:t>
      </w:r>
      <w:r>
        <w:rPr>
          <w:rFonts w:hint="default" w:asciiTheme="minorAscii" w:hAnsiTheme="minorAscii"/>
          <w:sz w:val="22"/>
          <w:szCs w:val="21"/>
          <w:lang w:val="pt-BR"/>
        </w:rPr>
        <w:tab/>
      </w:r>
      <w:r>
        <w:rPr>
          <w:rFonts w:hint="default" w:asciiTheme="minorAscii" w:hAnsiTheme="minorAscii"/>
          <w:sz w:val="22"/>
          <w:szCs w:val="21"/>
        </w:rPr>
        <w:t xml:space="preserve">Eventuais saldos financeiros remanescentes dos recursos públicos transferidos, inclusive os provenientes das receitas obtidas das aplicações financeiras realizadas, serão devolvidos à </w:t>
      </w:r>
      <w:r>
        <w:rPr>
          <w:rFonts w:hint="default" w:asciiTheme="minorAscii" w:hAnsiTheme="minorAscii"/>
          <w:sz w:val="22"/>
          <w:szCs w:val="21"/>
          <w:lang w:val="pt-BR"/>
        </w:rPr>
        <w:t>A</w:t>
      </w:r>
      <w:r>
        <w:rPr>
          <w:rFonts w:hint="default" w:asciiTheme="minorAscii" w:hAnsiTheme="minorAscii"/>
          <w:sz w:val="22"/>
          <w:szCs w:val="21"/>
        </w:rPr>
        <w:t xml:space="preserve">dministração </w:t>
      </w:r>
      <w:r>
        <w:rPr>
          <w:rFonts w:hint="default" w:asciiTheme="minorAscii" w:hAnsiTheme="minorAscii"/>
          <w:sz w:val="22"/>
          <w:szCs w:val="21"/>
          <w:lang w:val="pt-BR"/>
        </w:rPr>
        <w:t>P</w:t>
      </w:r>
      <w:r>
        <w:rPr>
          <w:rFonts w:hint="default" w:asciiTheme="minorAscii" w:hAnsiTheme="minorAscii"/>
          <w:sz w:val="22"/>
          <w:szCs w:val="21"/>
        </w:rPr>
        <w:t xml:space="preserve">ública por ocasião da conclusão, denúncia, rescisão ou extinção da parceria, nos termos do art. 52 da Lei nº 13.019, de 2014. </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r>
        <w:rPr>
          <w:rFonts w:hint="default" w:asciiTheme="minorAscii" w:hAnsiTheme="minorAscii"/>
          <w:b/>
          <w:bCs/>
          <w:sz w:val="22"/>
          <w:szCs w:val="21"/>
          <w:lang w:val="pt-BR"/>
        </w:rPr>
        <w:t>9.9.</w:t>
      </w:r>
      <w:r>
        <w:rPr>
          <w:rFonts w:hint="default" w:asciiTheme="minorAscii" w:hAnsiTheme="minorAscii"/>
          <w:b/>
          <w:bCs/>
          <w:sz w:val="22"/>
          <w:szCs w:val="21"/>
          <w:lang w:val="pt-BR"/>
        </w:rPr>
        <w:tab/>
      </w:r>
      <w:r>
        <w:rPr>
          <w:rFonts w:hint="default" w:asciiTheme="minorAscii" w:hAnsiTheme="minorAscii"/>
          <w:sz w:val="22"/>
          <w:szCs w:val="21"/>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color w:val="auto"/>
          <w:sz w:val="22"/>
          <w:szCs w:val="21"/>
          <w:lang w:val="pt-BR"/>
        </w:rPr>
      </w:pPr>
      <w:r>
        <w:rPr>
          <w:rFonts w:hint="default" w:cs="Arial" w:asciiTheme="minorAscii" w:hAnsiTheme="minorAscii"/>
          <w:b/>
          <w:bCs/>
          <w:color w:val="auto"/>
          <w:sz w:val="22"/>
          <w:szCs w:val="21"/>
          <w:lang w:val="pt-BR"/>
        </w:rPr>
        <w:t>DA CONTRAPARTIDA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Em contrapartida a celebração da parceria e destinação dos recursos do FMCA, cada OSC selecionada deverá atender e executar os objetivos do projeto apresentado a no mínimo 03 (três) crianças ou adolescentes, a serem indicadas pela Assistência Social do Município, dentre crianças em vulnerabilidade social e atendidas pelo serviço.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 xml:space="preserve">Nenhum custo adicional poderá ser cobrado, seja da Administração Pública Municipal ou FMCA, bem como da família ou criança e adolescente, seja a título de mensalidade, contribuição, ajuda de custos, uniforme ou vestimenta. </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 falta ou ausência de indicação de crianças ou adolescentes interessadas na participação do projeto, desobriga a OSC ao cumprimento da contrapartida fixada, de modo que, não lhe acarretará qualquer prejuízo no recebimento dos recursos repassados pelo FMCA.</w:t>
      </w:r>
    </w:p>
    <w:p>
      <w:pPr>
        <w:keepNext w:val="0"/>
        <w:keepLines w:val="0"/>
        <w:pageBreakBefore w:val="0"/>
        <w:widowControl/>
        <w:kinsoku/>
        <w:wordWrap/>
        <w:overflowPunct/>
        <w:topLinePunct w:val="0"/>
        <w:autoSpaceDE/>
        <w:autoSpaceDN/>
        <w:bidi w:val="0"/>
        <w:adjustRightInd/>
        <w:snapToGrid/>
        <w:spacing w:before="181" w:beforeLines="50" w:after="0" w:line="240" w:lineRule="auto"/>
        <w:jc w:val="both"/>
        <w:textAlignment w:val="auto"/>
        <w:rPr>
          <w:rFonts w:hint="default" w:cs="Arial" w:asciiTheme="minorAscii" w:hAnsiTheme="minorAscii"/>
          <w:sz w:val="22"/>
          <w:szCs w:val="21"/>
        </w:rPr>
      </w:pPr>
    </w:p>
    <w:p>
      <w:pPr>
        <w:keepNext w:val="0"/>
        <w:keepLines w:val="0"/>
        <w:pageBreakBefore w:val="0"/>
        <w:widowControl/>
        <w:numPr>
          <w:ilvl w:val="0"/>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b/>
          <w:bCs/>
          <w:sz w:val="22"/>
          <w:szCs w:val="21"/>
          <w:lang w:val="pt-BR"/>
        </w:rPr>
      </w:pPr>
      <w:r>
        <w:rPr>
          <w:rFonts w:hint="default" w:cs="Arial" w:asciiTheme="minorAscii" w:hAnsiTheme="minorAscii"/>
          <w:b/>
          <w:bCs/>
          <w:sz w:val="22"/>
          <w:szCs w:val="21"/>
          <w:lang w:val="pt-BR"/>
        </w:rPr>
        <w:t>DISPOSIÇÕES FINAIS</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lang w:val="pt-BR"/>
        </w:rPr>
      </w:pPr>
      <w:r>
        <w:rPr>
          <w:rFonts w:hint="default" w:asciiTheme="minorAscii" w:hAnsiTheme="minorAscii"/>
          <w:sz w:val="22"/>
          <w:szCs w:val="21"/>
          <w:lang w:val="pt-BR"/>
        </w:rPr>
        <w:t>O presente Edital será divulgado em sua íntegra na página do sítio eletrônico oficial do Município de Não-Me-Toque (RS) na internet (www.naometoque.rs.gov.br) e seu extrato publicado em jornal de circulação local, com prazo mínimo de 30 (trinta) dias para a apresentação das propostas, contado da data de publicação do Edital.</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rPr>
        <w:t>Qualquer pessoa poderá impugnar o presente Edital, com antecedência mínima de 10 (dias) dias da data</w:t>
      </w:r>
      <w:r>
        <w:rPr>
          <w:rFonts w:hint="default" w:asciiTheme="minorAscii" w:hAnsiTheme="minorAscii"/>
          <w:sz w:val="22"/>
          <w:szCs w:val="21"/>
          <w:lang w:val="pt-BR"/>
        </w:rPr>
        <w:t xml:space="preserve"> </w:t>
      </w:r>
      <w:r>
        <w:rPr>
          <w:rFonts w:hint="default" w:asciiTheme="minorAscii" w:hAnsiTheme="minorAscii"/>
          <w:sz w:val="22"/>
          <w:szCs w:val="21"/>
        </w:rPr>
        <w:t xml:space="preserve">limite para envio das propostas, de forma eletrônica, pelo e-mail </w:t>
      </w:r>
      <w:r>
        <w:rPr>
          <w:rFonts w:hint="default" w:asciiTheme="minorAscii" w:hAnsiTheme="minorAscii"/>
          <w:sz w:val="22"/>
          <w:szCs w:val="21"/>
          <w:lang w:val="pt-BR"/>
        </w:rPr>
        <w:t>“comdica@naometoque.rs.gov.br”</w:t>
      </w:r>
      <w:r>
        <w:rPr>
          <w:rFonts w:hint="default" w:asciiTheme="minorAscii" w:hAnsiTheme="minorAscii"/>
          <w:sz w:val="22"/>
          <w:szCs w:val="21"/>
        </w:rPr>
        <w:t xml:space="preserve"> ou por petição dirigida </w:t>
      </w:r>
      <w:r>
        <w:rPr>
          <w:rFonts w:hint="default" w:asciiTheme="minorAscii" w:hAnsiTheme="minorAscii"/>
          <w:sz w:val="22"/>
          <w:szCs w:val="21"/>
          <w:lang w:val="pt-BR"/>
        </w:rPr>
        <w:t xml:space="preserve">e </w:t>
      </w:r>
      <w:r>
        <w:rPr>
          <w:rFonts w:hint="default" w:asciiTheme="minorAscii" w:hAnsiTheme="minorAscii"/>
          <w:sz w:val="22"/>
          <w:szCs w:val="21"/>
        </w:rPr>
        <w:t xml:space="preserve">protocolada no </w:t>
      </w:r>
      <w:r>
        <w:rPr>
          <w:rFonts w:hint="default" w:asciiTheme="minorAscii" w:hAnsiTheme="minorAscii"/>
          <w:sz w:val="22"/>
          <w:szCs w:val="21"/>
          <w:lang w:val="pt-BR"/>
        </w:rPr>
        <w:t>Centro Administrativo, sito na Avenida Alto Jacuí, nº 840</w:t>
      </w:r>
      <w:r>
        <w:rPr>
          <w:rFonts w:hint="default" w:asciiTheme="minorAscii" w:hAnsiTheme="minorAscii"/>
          <w:sz w:val="22"/>
          <w:szCs w:val="21"/>
        </w:rPr>
        <w:t>. A resposta às impugnações caberá a</w:t>
      </w:r>
      <w:r>
        <w:rPr>
          <w:rFonts w:hint="default" w:asciiTheme="minorAscii" w:hAnsiTheme="minorAscii"/>
          <w:sz w:val="22"/>
          <w:szCs w:val="21"/>
          <w:lang w:val="pt-BR"/>
        </w:rPr>
        <w:t xml:space="preserve"> Comissão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Os pedidos de esclarecimentos, decorrentes de dúvidas na interpretação deste Edital e de seus anexos, deverão ser encaminhados com antecedência mínima de 10 (dias) dias da data</w:t>
      </w:r>
      <w:r>
        <w:rPr>
          <w:rFonts w:hint="default" w:asciiTheme="minorAscii" w:hAnsiTheme="minorAscii"/>
          <w:sz w:val="22"/>
          <w:szCs w:val="21"/>
          <w:lang w:val="pt-BR"/>
        </w:rPr>
        <w:t xml:space="preserve"> </w:t>
      </w:r>
      <w:r>
        <w:rPr>
          <w:rFonts w:hint="default" w:asciiTheme="minorAscii" w:hAnsiTheme="minorAscii"/>
          <w:sz w:val="22"/>
          <w:szCs w:val="21"/>
        </w:rPr>
        <w:t xml:space="preserve">limite para envio da proposta, exclusivamente de forma eletrônica, pelo e-mail: </w:t>
      </w:r>
      <w:r>
        <w:rPr>
          <w:rFonts w:hint="default" w:asciiTheme="minorAscii" w:hAnsiTheme="minorAscii"/>
          <w:sz w:val="22"/>
          <w:szCs w:val="21"/>
          <w:lang w:val="pt-BR"/>
        </w:rPr>
        <w:t>“comdica@naometoque.rs.gov.br”.</w:t>
      </w:r>
      <w:r>
        <w:rPr>
          <w:rFonts w:hint="default" w:asciiTheme="minorAscii" w:hAnsiTheme="minorAscii"/>
          <w:sz w:val="22"/>
          <w:szCs w:val="21"/>
        </w:rPr>
        <w:t xml:space="preserve"> Os esclarecimentos serão prestados pela Comissão de Seleção.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rPr>
        <w:t>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lang w:val="pt-BR"/>
        </w:rPr>
      </w:pPr>
      <w:r>
        <w:rPr>
          <w:rFonts w:hint="default" w:asciiTheme="minorAscii" w:hAnsiTheme="minorAscii"/>
          <w:sz w:val="22"/>
          <w:szCs w:val="21"/>
          <w:lang w:val="pt-BR"/>
        </w:rPr>
        <w:t>A Comissão de Seleção resolverá os casos omissos e as situações não previstas no presente Edital, observadas as disposições legais e os princípios que regem a administração pública.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lang w:val="pt-BR"/>
        </w:rPr>
        <w:t xml:space="preserve"> A qualquer tempo, o presente Edital poderá ser revogado por interesse público ou anulado, no todo ou em parte, por vício insanável, sem que isso implique direito a indenização ou reclamação de qualquer natureza.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asciiTheme="minorAscii" w:hAnsiTheme="minorAscii"/>
          <w:sz w:val="22"/>
          <w:szCs w:val="21"/>
        </w:rPr>
      </w:pPr>
      <w:r>
        <w:rPr>
          <w:rFonts w:hint="default" w:asciiTheme="minorAscii" w:hAnsiTheme="minorAscii"/>
          <w:sz w:val="22"/>
          <w:szCs w:val="21"/>
        </w:rPr>
        <w:t>A administração pública não cobrará das entidades concorrentes taxa para participar deste Chamamento Público.</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asciiTheme="minorAscii" w:hAnsiTheme="minorAscii"/>
          <w:sz w:val="22"/>
          <w:szCs w:val="21"/>
          <w:lang w:val="pt-BR"/>
        </w:rPr>
        <w:t xml:space="preserve"> </w:t>
      </w:r>
      <w:r>
        <w:rPr>
          <w:rFonts w:hint="default" w:asciiTheme="minorAscii" w:hAnsiTheme="minorAscii"/>
          <w:sz w:val="22"/>
          <w:szCs w:val="21"/>
        </w:rPr>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keepNext w:val="0"/>
        <w:keepLines w:val="0"/>
        <w:pageBreakBefore w:val="0"/>
        <w:widowControl/>
        <w:numPr>
          <w:ilvl w:val="1"/>
          <w:numId w:val="1"/>
        </w:numPr>
        <w:kinsoku/>
        <w:wordWrap/>
        <w:overflowPunct/>
        <w:topLinePunct w:val="0"/>
        <w:autoSpaceDE/>
        <w:autoSpaceDN/>
        <w:bidi w:val="0"/>
        <w:adjustRightInd/>
        <w:snapToGrid/>
        <w:spacing w:before="181" w:beforeLines="50" w:after="0" w:line="240" w:lineRule="auto"/>
        <w:ind w:left="0" w:leftChars="0" w:firstLine="0" w:firstLineChars="0"/>
        <w:jc w:val="both"/>
        <w:textAlignment w:val="auto"/>
        <w:rPr>
          <w:rFonts w:hint="default" w:cs="Arial" w:asciiTheme="minorAscii" w:hAnsiTheme="minorAscii"/>
          <w:sz w:val="22"/>
          <w:szCs w:val="21"/>
        </w:rPr>
      </w:pPr>
      <w:r>
        <w:rPr>
          <w:rFonts w:hint="default" w:cs="Arial" w:asciiTheme="minorAscii" w:hAnsiTheme="minorAscii"/>
          <w:sz w:val="22"/>
          <w:szCs w:val="21"/>
          <w:lang w:val="pt-BR"/>
        </w:rPr>
        <w:t>Constituem anexos do presente Edital, dele fazendo parte integrante:</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 - Declaração de Ciência e Concordância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 xml:space="preserve">Anexo II - Declaração de Instalações e Condições Materiais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III - Proposta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IV - Modelo de Plano de Trabalho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ab/>
      </w:r>
      <w:r>
        <w:rPr>
          <w:rFonts w:hint="default" w:cs="Arial" w:asciiTheme="minorAscii" w:hAnsiTheme="minorAscii"/>
          <w:sz w:val="22"/>
          <w:szCs w:val="21"/>
          <w:lang w:val="pt-BR"/>
        </w:rPr>
        <w:t>Anexo V - Declaração de Não-Ocorrência de Impedimento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cs="Arial" w:asciiTheme="minorAscii" w:hAnsiTheme="minorAscii"/>
          <w:sz w:val="22"/>
          <w:szCs w:val="21"/>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Não-Me-Toque (RS), 20 de janeiro de 2023</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 xml:space="preserve">Gilson Larri Trennepohl </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cs="Arial" w:asciiTheme="minorAscii" w:hAnsiTheme="minorAscii"/>
          <w:sz w:val="22"/>
          <w:szCs w:val="21"/>
          <w:lang w:val="pt-BR"/>
        </w:rPr>
      </w:pPr>
      <w:r>
        <w:rPr>
          <w:rFonts w:hint="default" w:cs="Arial" w:asciiTheme="minorAscii" w:hAnsiTheme="minorAscii"/>
          <w:sz w:val="22"/>
          <w:szCs w:val="21"/>
          <w:lang w:val="pt-BR"/>
        </w:rPr>
        <w:t>Vice-Prefeito no exercício do cargo de Prefeito Municipal</w:t>
      </w:r>
    </w:p>
    <w:p>
      <w:pPr>
        <w:rPr>
          <w:rFonts w:hint="default" w:cs="Arial" w:asciiTheme="minorAscii" w:hAnsiTheme="minorAscii"/>
          <w:sz w:val="22"/>
          <w:szCs w:val="21"/>
          <w:lang w:val="pt-BR"/>
        </w:rPr>
      </w:pPr>
      <w:bookmarkStart w:id="0" w:name="_GoBack"/>
      <w:bookmarkEnd w:id="0"/>
    </w:p>
    <w:sectPr>
      <w:headerReference r:id="rId7" w:type="first"/>
      <w:headerReference r:id="rId5" w:type="default"/>
      <w:footerReference r:id="rId8" w:type="default"/>
      <w:headerReference r:id="rId6" w:type="even"/>
      <w:pgSz w:w="11906" w:h="16838"/>
      <w:pgMar w:top="2268" w:right="1985" w:bottom="1701" w:left="1985" w:header="0" w:footer="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701"/>
    </w:pPr>
    <w:r>
      <w:rPr>
        <w:lang w:eastAsia="pt-BR"/>
      </w:rPr>
      <w:drawing>
        <wp:anchor distT="0" distB="0" distL="114300" distR="114300" simplePos="0" relativeHeight="251660288" behindDoc="1" locked="0" layoutInCell="1" allowOverlap="1">
          <wp:simplePos x="0" y="0"/>
          <wp:positionH relativeFrom="page">
            <wp:align>left</wp:align>
          </wp:positionH>
          <wp:positionV relativeFrom="page">
            <wp:posOffset>9591675</wp:posOffset>
          </wp:positionV>
          <wp:extent cx="7656830" cy="1097280"/>
          <wp:effectExtent l="0" t="0" r="1270" b="7620"/>
          <wp:wrapTight wrapText="bothSides">
            <wp:wrapPolygon>
              <wp:start x="21335" y="0"/>
              <wp:lineTo x="5374" y="4875"/>
              <wp:lineTo x="5374" y="10125"/>
              <wp:lineTo x="8169" y="12000"/>
              <wp:lineTo x="5911" y="12750"/>
              <wp:lineTo x="0" y="15375"/>
              <wp:lineTo x="0" y="21375"/>
              <wp:lineTo x="21550" y="21375"/>
              <wp:lineTo x="21550" y="0"/>
              <wp:lineTo x="21335" y="0"/>
            </wp:wrapPolygon>
          </wp:wrapTight>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m 8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063" cy="10972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drawing>
        <wp:anchor distT="0" distB="0" distL="114300" distR="114300" simplePos="0" relativeHeight="251659264" behindDoc="1" locked="0" layoutInCell="1" allowOverlap="1">
          <wp:simplePos x="0" y="0"/>
          <wp:positionH relativeFrom="margin">
            <wp:align>center</wp:align>
          </wp:positionH>
          <wp:positionV relativeFrom="page">
            <wp:posOffset>152400</wp:posOffset>
          </wp:positionV>
          <wp:extent cx="6570345" cy="986790"/>
          <wp:effectExtent l="0" t="0" r="1905" b="3810"/>
          <wp:wrapTight wrapText="bothSides">
            <wp:wrapPolygon>
              <wp:start x="752" y="0"/>
              <wp:lineTo x="251" y="417"/>
              <wp:lineTo x="188" y="1668"/>
              <wp:lineTo x="313" y="6672"/>
              <wp:lineTo x="0" y="11676"/>
              <wp:lineTo x="0" y="21266"/>
              <wp:lineTo x="2505" y="21266"/>
              <wp:lineTo x="19790" y="20015"/>
              <wp:lineTo x="21544" y="19598"/>
              <wp:lineTo x="21544" y="5004"/>
              <wp:lineTo x="21231" y="417"/>
              <wp:lineTo x="20479" y="0"/>
              <wp:lineTo x="752" y="0"/>
            </wp:wrapPolygon>
          </wp:wrapTight>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m 8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345" cy="98679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479276313" o:spid="_x0000_s3074" o:spt="75" type="#_x0000_t75" style="position:absolute;left:0pt;height:481.85pt;width:425.05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o:title="00 marc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pt-BR"/>
      </w:rPr>
      <w:pict>
        <v:shape id="WordPictureWatermark479276312" o:spid="_x0000_s3073" o:spt="75" type="#_x0000_t75" style="position:absolute;left:0pt;height:481.85pt;width:42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o:title="00 marc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503D89"/>
    <w:multiLevelType w:val="singleLevel"/>
    <w:tmpl w:val="C8503D89"/>
    <w:lvl w:ilvl="0" w:tentative="0">
      <w:start w:val="1"/>
      <w:numFmt w:val="upperLetter"/>
      <w:suff w:val="space"/>
      <w:lvlText w:val="%1)"/>
      <w:lvlJc w:val="left"/>
      <w:pPr>
        <w:ind w:left="708" w:leftChars="0" w:firstLine="0" w:firstLineChars="0"/>
      </w:pPr>
    </w:lvl>
  </w:abstractNum>
  <w:abstractNum w:abstractNumId="1">
    <w:nsid w:val="EAA42DC8"/>
    <w:multiLevelType w:val="singleLevel"/>
    <w:tmpl w:val="EAA42DC8"/>
    <w:lvl w:ilvl="0" w:tentative="0">
      <w:start w:val="1"/>
      <w:numFmt w:val="lowerLetter"/>
      <w:suff w:val="space"/>
      <w:lvlText w:val="%1)"/>
      <w:lvlJc w:val="left"/>
    </w:lvl>
  </w:abstractNum>
  <w:abstractNum w:abstractNumId="2">
    <w:nsid w:val="0E815B6E"/>
    <w:multiLevelType w:val="multilevel"/>
    <w:tmpl w:val="0E815B6E"/>
    <w:lvl w:ilvl="0" w:tentative="0">
      <w:start w:val="1"/>
      <w:numFmt w:val="decimal"/>
      <w:lvlText w:val="%1."/>
      <w:lvlJc w:val="left"/>
    </w:lvl>
    <w:lvl w:ilvl="1" w:tentative="0">
      <w:start w:val="1"/>
      <w:numFmt w:val="decimal"/>
      <w:lvlText w:val="%1.%2."/>
      <w:lvlJc w:val="left"/>
      <w:pPr>
        <w:tabs>
          <w:tab w:val="left" w:pos="312"/>
        </w:tabs>
        <w:ind w:left="0" w:leftChars="0" w:firstLine="0" w:firstLineChars="0"/>
      </w:pPr>
      <w:rPr>
        <w:rFonts w:hint="default"/>
        <w:b/>
        <w:bCs/>
        <w:color w:val="auto"/>
      </w:rPr>
    </w:lvl>
    <w:lvl w:ilvl="2" w:tentative="0">
      <w:start w:val="1"/>
      <w:numFmt w:val="decimal"/>
      <w:lvlText w:val="%1.%2.%3."/>
      <w:lvlJc w:val="left"/>
      <w:pPr>
        <w:tabs>
          <w:tab w:val="left" w:pos="312"/>
        </w:tabs>
        <w:ind w:left="0" w:leftChars="0" w:firstLine="0" w:firstLineChars="0"/>
      </w:pPr>
      <w:rPr>
        <w:rFonts w:hint="default"/>
        <w:b/>
        <w:bCs/>
      </w:rPr>
    </w:lvl>
    <w:lvl w:ilvl="3" w:tentative="0">
      <w:start w:val="1"/>
      <w:numFmt w:val="decimal"/>
      <w:lvlText w:val="%1.%2.%3.%4."/>
      <w:lvlJc w:val="left"/>
      <w:pPr>
        <w:tabs>
          <w:tab w:val="left" w:pos="312"/>
        </w:tabs>
        <w:ind w:left="0" w:leftChars="0" w:firstLine="0" w:firstLineChars="0"/>
      </w:pPr>
      <w:rPr>
        <w:rFonts w:hint="default"/>
      </w:rPr>
    </w:lvl>
    <w:lvl w:ilvl="4" w:tentative="0">
      <w:start w:val="1"/>
      <w:numFmt w:val="decimal"/>
      <w:lvlText w:val="%1.%2.%3.%4.%5."/>
      <w:lvlJc w:val="left"/>
      <w:pPr>
        <w:tabs>
          <w:tab w:val="left" w:pos="312"/>
        </w:tabs>
        <w:ind w:left="0" w:leftChars="0" w:firstLine="0" w:firstLineChars="0"/>
      </w:pPr>
      <w:rPr>
        <w:rFonts w:hint="default"/>
      </w:rPr>
    </w:lvl>
    <w:lvl w:ilvl="5" w:tentative="0">
      <w:start w:val="1"/>
      <w:numFmt w:val="decimal"/>
      <w:lvlText w:val="%1.%2.%3.%4.%5.%6."/>
      <w:lvlJc w:val="left"/>
      <w:pPr>
        <w:tabs>
          <w:tab w:val="left" w:pos="312"/>
        </w:tabs>
        <w:ind w:left="0" w:leftChars="0" w:firstLine="0" w:firstLineChars="0"/>
      </w:pPr>
      <w:rPr>
        <w:rFonts w:hint="default"/>
      </w:rPr>
    </w:lvl>
    <w:lvl w:ilvl="6" w:tentative="0">
      <w:start w:val="1"/>
      <w:numFmt w:val="decimal"/>
      <w:lvlText w:val="%1.%2.%3.%4.%5.%6.%7."/>
      <w:lvlJc w:val="left"/>
      <w:pPr>
        <w:tabs>
          <w:tab w:val="left" w:pos="312"/>
        </w:tabs>
        <w:ind w:left="0" w:leftChars="0" w:firstLine="0" w:firstLineChars="0"/>
      </w:pPr>
      <w:rPr>
        <w:rFonts w:hint="default"/>
      </w:rPr>
    </w:lvl>
    <w:lvl w:ilvl="7" w:tentative="0">
      <w:start w:val="1"/>
      <w:numFmt w:val="decimal"/>
      <w:lvlText w:val="%1.%2.%3.%4.%5.%6.%7.%8."/>
      <w:lvlJc w:val="left"/>
      <w:pPr>
        <w:tabs>
          <w:tab w:val="left" w:pos="312"/>
        </w:tabs>
        <w:ind w:left="0" w:leftChars="0" w:firstLine="0" w:firstLineChars="0"/>
      </w:pPr>
      <w:rPr>
        <w:rFonts w:hint="default"/>
      </w:rPr>
    </w:lvl>
    <w:lvl w:ilvl="8" w:tentative="0">
      <w:start w:val="1"/>
      <w:numFmt w:val="decimal"/>
      <w:lvlText w:val="%1.%2.%3.%4.%5.%6.%7.%8.%9."/>
      <w:lvlJc w:val="left"/>
      <w:pPr>
        <w:tabs>
          <w:tab w:val="left" w:pos="312"/>
        </w:tabs>
        <w:ind w:left="0" w:leftChars="0" w:firstLine="0" w:firstLineChars="0"/>
      </w:pPr>
      <w:rPr>
        <w:rFonts w:hint="default"/>
      </w:rPr>
    </w:lvl>
  </w:abstractNum>
  <w:abstractNum w:abstractNumId="3">
    <w:nsid w:val="44061C06"/>
    <w:multiLevelType w:val="singleLevel"/>
    <w:tmpl w:val="44061C06"/>
    <w:lvl w:ilvl="0" w:tentative="0">
      <w:start w:val="1"/>
      <w:numFmt w:val="lowerLetter"/>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08"/>
  <w:hyphenationZone w:val="425"/>
  <w:characterSpacingControl w:val="doNotCompress"/>
  <w:hdrShapeDefaults>
    <o:shapelayout v:ext="edit">
      <o:idmap v:ext="edit" data="3"/>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16"/>
    <w:rsid w:val="000256EB"/>
    <w:rsid w:val="00083415"/>
    <w:rsid w:val="00110BDC"/>
    <w:rsid w:val="0012245A"/>
    <w:rsid w:val="00126518"/>
    <w:rsid w:val="00134C80"/>
    <w:rsid w:val="001E5A59"/>
    <w:rsid w:val="00254012"/>
    <w:rsid w:val="002A4EB2"/>
    <w:rsid w:val="002D18E5"/>
    <w:rsid w:val="0034643B"/>
    <w:rsid w:val="003971E8"/>
    <w:rsid w:val="00432825"/>
    <w:rsid w:val="004A63FE"/>
    <w:rsid w:val="005072AA"/>
    <w:rsid w:val="00561D29"/>
    <w:rsid w:val="005927A0"/>
    <w:rsid w:val="005D4B00"/>
    <w:rsid w:val="0061092D"/>
    <w:rsid w:val="00672A33"/>
    <w:rsid w:val="006E063D"/>
    <w:rsid w:val="00733F75"/>
    <w:rsid w:val="00750C58"/>
    <w:rsid w:val="00795916"/>
    <w:rsid w:val="008F2457"/>
    <w:rsid w:val="008F5EA0"/>
    <w:rsid w:val="00991823"/>
    <w:rsid w:val="00A12CB0"/>
    <w:rsid w:val="00A3670C"/>
    <w:rsid w:val="00A3742B"/>
    <w:rsid w:val="00A66078"/>
    <w:rsid w:val="00A77A7E"/>
    <w:rsid w:val="00AB1D15"/>
    <w:rsid w:val="00BB60A9"/>
    <w:rsid w:val="00BF51FC"/>
    <w:rsid w:val="00BF5857"/>
    <w:rsid w:val="00C263C0"/>
    <w:rsid w:val="00C33CB1"/>
    <w:rsid w:val="00CB5437"/>
    <w:rsid w:val="00CD4D70"/>
    <w:rsid w:val="00D91AE4"/>
    <w:rsid w:val="00DA68AB"/>
    <w:rsid w:val="00E87B4D"/>
    <w:rsid w:val="00E927E6"/>
    <w:rsid w:val="00EB3A0E"/>
    <w:rsid w:val="00F96BC2"/>
    <w:rsid w:val="00FB44EB"/>
    <w:rsid w:val="00FB7F74"/>
    <w:rsid w:val="06103079"/>
    <w:rsid w:val="0B724B5D"/>
    <w:rsid w:val="0ECF2FB3"/>
    <w:rsid w:val="13863F40"/>
    <w:rsid w:val="15CB23D1"/>
    <w:rsid w:val="16910CA8"/>
    <w:rsid w:val="17B11218"/>
    <w:rsid w:val="1A2F2670"/>
    <w:rsid w:val="1BA70D60"/>
    <w:rsid w:val="2DBF22EC"/>
    <w:rsid w:val="306F4C5F"/>
    <w:rsid w:val="33BA5596"/>
    <w:rsid w:val="3F770921"/>
    <w:rsid w:val="428706B0"/>
    <w:rsid w:val="43AE2C6B"/>
    <w:rsid w:val="4A332E55"/>
    <w:rsid w:val="5CA63A4D"/>
    <w:rsid w:val="640504AE"/>
    <w:rsid w:val="67282C6F"/>
    <w:rsid w:val="68D6386E"/>
    <w:rsid w:val="69BD5301"/>
    <w:rsid w:val="756B594D"/>
    <w:rsid w:val="774953A3"/>
    <w:rsid w:val="7BC60CA1"/>
    <w:rsid w:val="7C123E2F"/>
    <w:rsid w:val="7DFC139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252"/>
        <w:tab w:val="right" w:pos="8504"/>
      </w:tabs>
      <w:spacing w:after="0" w:line="240" w:lineRule="auto"/>
    </w:pPr>
  </w:style>
  <w:style w:type="paragraph" w:styleId="5">
    <w:name w:val="footer"/>
    <w:basedOn w:val="1"/>
    <w:link w:val="9"/>
    <w:unhideWhenUsed/>
    <w:qFormat/>
    <w:uiPriority w:val="99"/>
    <w:pPr>
      <w:tabs>
        <w:tab w:val="center" w:pos="4252"/>
        <w:tab w:val="right" w:pos="8504"/>
      </w:tabs>
      <w:spacing w:after="0" w:line="240" w:lineRule="auto"/>
    </w:pPr>
  </w:style>
  <w:style w:type="paragraph" w:styleId="6">
    <w:name w:val="Balloon Text"/>
    <w:basedOn w:val="1"/>
    <w:link w:val="11"/>
    <w:semiHidden/>
    <w:unhideWhenUsed/>
    <w:qFormat/>
    <w:uiPriority w:val="99"/>
    <w:pPr>
      <w:spacing w:after="0" w:line="240" w:lineRule="auto"/>
    </w:pPr>
    <w:rPr>
      <w:rFonts w:ascii="Segoe UI" w:hAnsi="Segoe UI" w:cs="Segoe UI"/>
      <w:sz w:val="18"/>
      <w:szCs w:val="18"/>
    </w:rPr>
  </w:style>
  <w:style w:type="table" w:styleId="7">
    <w:name w:val="Table Grid"/>
    <w:basedOn w:val="3"/>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Cabeçalho Char"/>
    <w:basedOn w:val="2"/>
    <w:link w:val="4"/>
    <w:qFormat/>
    <w:uiPriority w:val="99"/>
  </w:style>
  <w:style w:type="character" w:customStyle="1" w:styleId="9">
    <w:name w:val="Rodapé Char"/>
    <w:basedOn w:val="2"/>
    <w:link w:val="5"/>
    <w:qFormat/>
    <w:uiPriority w:val="99"/>
  </w:style>
  <w:style w:type="paragraph" w:customStyle="1" w:styleId="10">
    <w:name w:val="Standard"/>
    <w:qFormat/>
    <w:uiPriority w:val="0"/>
    <w:pPr>
      <w:widowControl w:val="0"/>
      <w:suppressAutoHyphens/>
      <w:autoSpaceDN w:val="0"/>
      <w:textAlignment w:val="baseline"/>
    </w:pPr>
    <w:rPr>
      <w:rFonts w:ascii="Times New Roman" w:hAnsi="Times New Roman" w:eastAsia="SimSun" w:cs="Arial"/>
      <w:kern w:val="3"/>
      <w:sz w:val="24"/>
      <w:szCs w:val="24"/>
      <w:lang w:val="pt-BR" w:eastAsia="zh-CN" w:bidi="hi-IN"/>
    </w:rPr>
  </w:style>
  <w:style w:type="character" w:customStyle="1" w:styleId="11">
    <w:name w:val="Texto de balão Char"/>
    <w:basedOn w:val="2"/>
    <w:link w:val="6"/>
    <w:semiHidden/>
    <w:qFormat/>
    <w:uiPriority w:val="99"/>
    <w:rPr>
      <w:rFonts w:ascii="Segoe UI" w:hAnsi="Segoe UI" w:cs="Segoe UI"/>
      <w:sz w:val="18"/>
      <w:szCs w:val="18"/>
    </w:rPr>
  </w:style>
  <w:style w:type="paragraph" w:styleId="12">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D2255-CD41-4C91-9C2A-582CFE842FC7}">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5</Characters>
  <Lines>1</Lines>
  <Paragraphs>1</Paragraphs>
  <TotalTime>18</TotalTime>
  <ScaleCrop>false</ScaleCrop>
  <LinksUpToDate>false</LinksUpToDate>
  <CharactersWithSpaces>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2021-01-19T16:38:00Z</dcterms:created>
  <dc:creator>Felipe</dc:creator>
  <cp:lastModifiedBy>Usuario</cp:lastModifiedBy>
  <cp:lastPrinted>2021-04-06T18:46:00Z</cp:lastPrinted>
  <dcterms:modified xsi:type="dcterms:W3CDTF">2023-01-17T16:54:01Z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1046-11.2.0.11440</vt:lpwstr>
  </property>
  <property fmtid="{D5CDD505-2E9C-101B-9397-08002B2CF9AE}" pid="3" name="ICV">
    <vt:lpwstr>9CB10C11498A4DA6B2622C1A77777161</vt:lpwstr>
  </property>
</Properties>
</file>